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18" w:space="0" w:color="0000FF"/>
        </w:tblBorders>
        <w:tblLayout w:type="fixed"/>
        <w:tblCellMar>
          <w:left w:w="0" w:type="dxa"/>
          <w:right w:w="0" w:type="dxa"/>
        </w:tblCellMar>
        <w:tblLook w:val="0000" w:firstRow="0" w:lastRow="0" w:firstColumn="0" w:lastColumn="0" w:noHBand="0" w:noVBand="0"/>
      </w:tblPr>
      <w:tblGrid>
        <w:gridCol w:w="7655"/>
        <w:gridCol w:w="1795"/>
      </w:tblGrid>
      <w:tr w:rsidR="008E42DB" w:rsidRPr="00C663B7" w:rsidTr="00D01216">
        <w:trPr>
          <w:cantSplit/>
        </w:trPr>
        <w:tc>
          <w:tcPr>
            <w:tcW w:w="7655" w:type="dxa"/>
          </w:tcPr>
          <w:p w:rsidR="008E42DB" w:rsidRDefault="008E42DB" w:rsidP="00D01216">
            <w:pPr>
              <w:pStyle w:val="Heading6"/>
              <w:rPr>
                <w:rFonts w:ascii="Arial" w:hAnsi="Arial" w:cs="Arial"/>
                <w:bCs w:val="0"/>
                <w:sz w:val="28"/>
                <w:szCs w:val="20"/>
                <w:lang w:val="en-GB"/>
              </w:rPr>
            </w:pPr>
          </w:p>
          <w:p w:rsidR="008E42DB" w:rsidRPr="00C663B7" w:rsidRDefault="00376A60" w:rsidP="006350E3">
            <w:pPr>
              <w:pStyle w:val="Heading6"/>
              <w:rPr>
                <w:rFonts w:ascii="Arial" w:hAnsi="Arial" w:cs="Arial"/>
                <w:bCs w:val="0"/>
                <w:sz w:val="28"/>
                <w:szCs w:val="20"/>
                <w:lang w:val="en-GB"/>
              </w:rPr>
            </w:pPr>
            <w:r>
              <w:rPr>
                <w:rFonts w:ascii="Arial" w:hAnsi="Arial" w:cs="Arial"/>
                <w:bCs w:val="0"/>
                <w:sz w:val="28"/>
                <w:szCs w:val="20"/>
                <w:lang w:val="en-GB"/>
              </w:rPr>
              <w:t>Notes from Citizens’ Assembly Meeting</w:t>
            </w:r>
          </w:p>
        </w:tc>
        <w:tc>
          <w:tcPr>
            <w:tcW w:w="1795" w:type="dxa"/>
            <w:vMerge w:val="restart"/>
            <w:tcBorders>
              <w:bottom w:val="nil"/>
            </w:tcBorders>
          </w:tcPr>
          <w:p w:rsidR="008E42DB" w:rsidRPr="00C663B7" w:rsidRDefault="008E42DB" w:rsidP="00D01216">
            <w:pPr>
              <w:jc w:val="right"/>
              <w:rPr>
                <w:rFonts w:cs="Arial"/>
                <w:b/>
              </w:rPr>
            </w:pPr>
          </w:p>
        </w:tc>
      </w:tr>
      <w:tr w:rsidR="008E42DB" w:rsidRPr="00C663B7" w:rsidTr="00D01216">
        <w:trPr>
          <w:cantSplit/>
        </w:trPr>
        <w:tc>
          <w:tcPr>
            <w:tcW w:w="7655" w:type="dxa"/>
            <w:tcBorders>
              <w:bottom w:val="nil"/>
            </w:tcBorders>
          </w:tcPr>
          <w:p w:rsidR="008E42DB" w:rsidRPr="00376A60" w:rsidRDefault="00376A60" w:rsidP="00D01216">
            <w:pPr>
              <w:rPr>
                <w:rFonts w:cs="Arial"/>
                <w:b/>
              </w:rPr>
            </w:pPr>
            <w:r w:rsidRPr="00376A60">
              <w:rPr>
                <w:rFonts w:cs="Arial"/>
              </w:rPr>
              <w:t>Held on Thursday 6</w:t>
            </w:r>
            <w:r w:rsidRPr="00376A60">
              <w:rPr>
                <w:rFonts w:cs="Arial"/>
                <w:vertAlign w:val="superscript"/>
              </w:rPr>
              <w:t>th</w:t>
            </w:r>
            <w:r w:rsidRPr="00376A60">
              <w:rPr>
                <w:rFonts w:cs="Arial"/>
              </w:rPr>
              <w:t xml:space="preserve"> April 2017</w:t>
            </w:r>
          </w:p>
        </w:tc>
        <w:tc>
          <w:tcPr>
            <w:tcW w:w="1795" w:type="dxa"/>
            <w:vMerge/>
            <w:tcBorders>
              <w:bottom w:val="nil"/>
            </w:tcBorders>
          </w:tcPr>
          <w:p w:rsidR="008E42DB" w:rsidRPr="00C663B7" w:rsidRDefault="008E42DB" w:rsidP="00D01216">
            <w:pPr>
              <w:rPr>
                <w:rFonts w:cs="Arial"/>
                <w:b/>
              </w:rPr>
            </w:pPr>
          </w:p>
        </w:tc>
      </w:tr>
      <w:tr w:rsidR="008E42DB" w:rsidRPr="00C663B7" w:rsidTr="00D01216">
        <w:trPr>
          <w:cantSplit/>
        </w:trPr>
        <w:tc>
          <w:tcPr>
            <w:tcW w:w="7655" w:type="dxa"/>
          </w:tcPr>
          <w:p w:rsidR="008E42DB" w:rsidRPr="00376A60" w:rsidRDefault="008E42DB" w:rsidP="00D01216">
            <w:pPr>
              <w:rPr>
                <w:rFonts w:cs="Arial"/>
                <w:b/>
              </w:rPr>
            </w:pPr>
            <w:r w:rsidRPr="00376A60">
              <w:rPr>
                <w:rFonts w:cs="Arial"/>
              </w:rPr>
              <w:t xml:space="preserve">In </w:t>
            </w:r>
            <w:r w:rsidR="00376A60" w:rsidRPr="00376A60">
              <w:rPr>
                <w:rFonts w:cs="Arial"/>
              </w:rPr>
              <w:t>Taunton Conference Centre at Somerset and Bridgewater College</w:t>
            </w:r>
          </w:p>
        </w:tc>
        <w:tc>
          <w:tcPr>
            <w:tcW w:w="1795" w:type="dxa"/>
            <w:vMerge/>
            <w:tcBorders>
              <w:bottom w:val="nil"/>
            </w:tcBorders>
          </w:tcPr>
          <w:p w:rsidR="008E42DB" w:rsidRPr="00C663B7" w:rsidRDefault="008E42DB" w:rsidP="00D01216">
            <w:pPr>
              <w:rPr>
                <w:rFonts w:cs="Arial"/>
                <w:b/>
              </w:rPr>
            </w:pPr>
          </w:p>
        </w:tc>
      </w:tr>
      <w:tr w:rsidR="008E42DB" w:rsidRPr="00C663B7" w:rsidTr="00D01216">
        <w:trPr>
          <w:cantSplit/>
          <w:trHeight w:hRule="exact" w:val="440"/>
        </w:trPr>
        <w:tc>
          <w:tcPr>
            <w:tcW w:w="7655" w:type="dxa"/>
            <w:tcBorders>
              <w:bottom w:val="single" w:sz="18" w:space="0" w:color="000080"/>
            </w:tcBorders>
          </w:tcPr>
          <w:p w:rsidR="008E42DB" w:rsidRPr="00C663B7" w:rsidRDefault="008E42DB" w:rsidP="00D01216">
            <w:pPr>
              <w:rPr>
                <w:rFonts w:cs="Arial"/>
              </w:rPr>
            </w:pPr>
          </w:p>
        </w:tc>
        <w:tc>
          <w:tcPr>
            <w:tcW w:w="1795" w:type="dxa"/>
            <w:tcBorders>
              <w:bottom w:val="single" w:sz="18" w:space="0" w:color="000080"/>
            </w:tcBorders>
          </w:tcPr>
          <w:p w:rsidR="008E42DB" w:rsidRPr="00C663B7" w:rsidRDefault="008E42DB" w:rsidP="00D01216">
            <w:pPr>
              <w:rPr>
                <w:rFonts w:cs="Arial"/>
                <w:b/>
              </w:rPr>
            </w:pPr>
          </w:p>
        </w:tc>
      </w:tr>
    </w:tbl>
    <w:p w:rsidR="008E42DB" w:rsidRPr="00C663B7" w:rsidRDefault="008E42DB" w:rsidP="008E42DB">
      <w:pPr>
        <w:pStyle w:val="MinsTitle"/>
        <w:rPr>
          <w:rFonts w:cs="Arial"/>
          <w:color w:val="auto"/>
        </w:rPr>
      </w:pPr>
      <w:bookmarkStart w:id="0" w:name="_GoBack"/>
      <w:bookmarkEnd w:id="0"/>
      <w:r w:rsidRPr="00C663B7">
        <w:rPr>
          <w:rFonts w:cs="Arial"/>
          <w:color w:val="auto"/>
        </w:rPr>
        <w:t>Meeting Notes</w:t>
      </w:r>
    </w:p>
    <w:p w:rsidR="008E42DB" w:rsidRPr="00DB7456" w:rsidRDefault="006E3624" w:rsidP="008E42DB">
      <w:pPr>
        <w:rPr>
          <w:rFonts w:cs="Arial"/>
          <w:b/>
        </w:rPr>
      </w:pPr>
      <w:r>
        <w:rPr>
          <w:rFonts w:cs="Arial"/>
          <w:b/>
        </w:rPr>
        <w:t>Present</w:t>
      </w:r>
      <w:r>
        <w:rPr>
          <w:rFonts w:cs="Arial"/>
          <w:b/>
        </w:rPr>
        <w:tab/>
      </w:r>
      <w:r>
        <w:rPr>
          <w:rFonts w:cs="Arial"/>
          <w:b/>
        </w:rPr>
        <w:tab/>
      </w:r>
      <w:r>
        <w:rPr>
          <w:rFonts w:cs="Arial"/>
          <w:b/>
        </w:rPr>
        <w:tab/>
      </w:r>
      <w:r>
        <w:rPr>
          <w:rFonts w:cs="Arial"/>
          <w:b/>
        </w:rPr>
        <w:tab/>
      </w:r>
      <w:r>
        <w:rPr>
          <w:rFonts w:cs="Arial"/>
          <w:b/>
        </w:rPr>
        <w:tab/>
      </w:r>
      <w:r>
        <w:rPr>
          <w:rFonts w:cs="Arial"/>
          <w:b/>
        </w:rPr>
        <w:tab/>
        <w:t>Apologies</w:t>
      </w:r>
    </w:p>
    <w:tbl>
      <w:tblPr>
        <w:tblStyle w:val="TableGrid"/>
        <w:tblW w:w="0" w:type="auto"/>
        <w:tblLook w:val="04A0" w:firstRow="1" w:lastRow="0" w:firstColumn="1" w:lastColumn="0" w:noHBand="0" w:noVBand="1"/>
      </w:tblPr>
      <w:tblGrid>
        <w:gridCol w:w="4595"/>
        <w:gridCol w:w="4647"/>
      </w:tblGrid>
      <w:tr w:rsidR="008E42DB" w:rsidTr="00376A60">
        <w:tc>
          <w:tcPr>
            <w:tcW w:w="4595" w:type="dxa"/>
            <w:tcMar>
              <w:top w:w="28" w:type="dxa"/>
              <w:bottom w:w="28" w:type="dxa"/>
            </w:tcMar>
          </w:tcPr>
          <w:p w:rsidR="008E42DB" w:rsidRPr="00F769E2" w:rsidRDefault="00376A60" w:rsidP="00D01216">
            <w:pPr>
              <w:rPr>
                <w:rFonts w:cs="Arial"/>
              </w:rPr>
            </w:pPr>
            <w:r>
              <w:rPr>
                <w:rFonts w:cs="Arial"/>
              </w:rPr>
              <w:t>Kevin Dixon, Healthwatch Torbay - Chair</w:t>
            </w:r>
          </w:p>
        </w:tc>
        <w:tc>
          <w:tcPr>
            <w:tcW w:w="4647" w:type="dxa"/>
            <w:tcMar>
              <w:top w:w="28" w:type="dxa"/>
              <w:bottom w:w="28" w:type="dxa"/>
            </w:tcMar>
          </w:tcPr>
          <w:p w:rsidR="008E42DB" w:rsidRPr="00F769E2" w:rsidRDefault="006E3624" w:rsidP="00D01216">
            <w:pPr>
              <w:rPr>
                <w:rFonts w:cs="Arial"/>
              </w:rPr>
            </w:pPr>
            <w:r>
              <w:rPr>
                <w:rFonts w:cs="Arial"/>
              </w:rPr>
              <w:t>Lance Allen, Healthwatch North Somerset</w:t>
            </w:r>
          </w:p>
        </w:tc>
      </w:tr>
      <w:tr w:rsidR="008E42DB" w:rsidTr="00376A60">
        <w:tc>
          <w:tcPr>
            <w:tcW w:w="4595" w:type="dxa"/>
            <w:tcMar>
              <w:top w:w="28" w:type="dxa"/>
              <w:bottom w:w="28" w:type="dxa"/>
            </w:tcMar>
          </w:tcPr>
          <w:p w:rsidR="008E42DB" w:rsidRPr="00F769E2" w:rsidRDefault="00376A60" w:rsidP="00D01216">
            <w:pPr>
              <w:rPr>
                <w:rFonts w:cs="Arial"/>
              </w:rPr>
            </w:pPr>
            <w:r>
              <w:rPr>
                <w:rFonts w:cs="Arial"/>
              </w:rPr>
              <w:t>Jacqueline Briggs, Healthwatch Somerset Project Coordinator, Guest</w:t>
            </w:r>
          </w:p>
        </w:tc>
        <w:tc>
          <w:tcPr>
            <w:tcW w:w="4647" w:type="dxa"/>
            <w:tcMar>
              <w:top w:w="28" w:type="dxa"/>
              <w:bottom w:w="28" w:type="dxa"/>
            </w:tcMar>
          </w:tcPr>
          <w:p w:rsidR="008E42DB" w:rsidRPr="00F769E2" w:rsidRDefault="006E3624" w:rsidP="006E3624">
            <w:pPr>
              <w:rPr>
                <w:rFonts w:cs="Arial"/>
              </w:rPr>
            </w:pPr>
            <w:r>
              <w:rPr>
                <w:rFonts w:cs="Arial"/>
              </w:rPr>
              <w:t>Joanna Parker, Healthwatch South Gloucestershire</w:t>
            </w:r>
          </w:p>
        </w:tc>
      </w:tr>
      <w:tr w:rsidR="008E42DB" w:rsidTr="00376A60">
        <w:tc>
          <w:tcPr>
            <w:tcW w:w="4595" w:type="dxa"/>
            <w:tcMar>
              <w:top w:w="28" w:type="dxa"/>
              <w:bottom w:w="28" w:type="dxa"/>
            </w:tcMar>
          </w:tcPr>
          <w:p w:rsidR="008E42DB" w:rsidRPr="00F769E2" w:rsidRDefault="00376A60" w:rsidP="00D01216">
            <w:pPr>
              <w:rPr>
                <w:rFonts w:cs="Arial"/>
              </w:rPr>
            </w:pPr>
            <w:r>
              <w:rPr>
                <w:rFonts w:cs="Arial"/>
              </w:rPr>
              <w:t>Ellie Devine, South West Senate Manager</w:t>
            </w:r>
          </w:p>
        </w:tc>
        <w:tc>
          <w:tcPr>
            <w:tcW w:w="4647" w:type="dxa"/>
            <w:tcMar>
              <w:top w:w="28" w:type="dxa"/>
              <w:bottom w:w="28" w:type="dxa"/>
            </w:tcMar>
          </w:tcPr>
          <w:p w:rsidR="008E42DB" w:rsidRPr="00F769E2" w:rsidRDefault="006E3624" w:rsidP="00D01216">
            <w:pPr>
              <w:rPr>
                <w:rFonts w:cs="Arial"/>
              </w:rPr>
            </w:pPr>
            <w:r>
              <w:rPr>
                <w:rFonts w:cs="Arial"/>
              </w:rPr>
              <w:t xml:space="preserve">Jayne </w:t>
            </w:r>
            <w:proofErr w:type="spellStart"/>
            <w:r>
              <w:rPr>
                <w:rFonts w:cs="Arial"/>
              </w:rPr>
              <w:t>Pye</w:t>
            </w:r>
            <w:proofErr w:type="spellEnd"/>
            <w:r>
              <w:rPr>
                <w:rFonts w:cs="Arial"/>
              </w:rPr>
              <w:t xml:space="preserve">, </w:t>
            </w:r>
            <w:proofErr w:type="spellStart"/>
            <w:r>
              <w:rPr>
                <w:rFonts w:cs="Arial"/>
              </w:rPr>
              <w:t>BaNES</w:t>
            </w:r>
            <w:proofErr w:type="spellEnd"/>
          </w:p>
        </w:tc>
      </w:tr>
      <w:tr w:rsidR="00376A60" w:rsidTr="00376A60">
        <w:tc>
          <w:tcPr>
            <w:tcW w:w="4595" w:type="dxa"/>
            <w:tcMar>
              <w:top w:w="28" w:type="dxa"/>
              <w:bottom w:w="28" w:type="dxa"/>
            </w:tcMar>
          </w:tcPr>
          <w:p w:rsidR="00376A60" w:rsidRPr="00F769E2" w:rsidRDefault="00376A60" w:rsidP="0058433E">
            <w:pPr>
              <w:rPr>
                <w:rFonts w:cs="Arial"/>
              </w:rPr>
            </w:pPr>
            <w:r>
              <w:rPr>
                <w:rFonts w:cs="Arial"/>
              </w:rPr>
              <w:t>Pat Eagle, Healthwatch Gloucestershire</w:t>
            </w:r>
          </w:p>
        </w:tc>
        <w:tc>
          <w:tcPr>
            <w:tcW w:w="4647" w:type="dxa"/>
            <w:tcMar>
              <w:top w:w="28" w:type="dxa"/>
              <w:bottom w:w="28" w:type="dxa"/>
            </w:tcMar>
          </w:tcPr>
          <w:p w:rsidR="00376A60" w:rsidRPr="00F769E2" w:rsidRDefault="006E3624" w:rsidP="00D01216">
            <w:pPr>
              <w:rPr>
                <w:rFonts w:cs="Arial"/>
              </w:rPr>
            </w:pPr>
            <w:r>
              <w:rPr>
                <w:rFonts w:cs="Arial"/>
              </w:rPr>
              <w:t>Amanda Stevens, CEO Healthwatch Cornwall</w:t>
            </w:r>
          </w:p>
        </w:tc>
      </w:tr>
      <w:tr w:rsidR="00376A60" w:rsidTr="00376A60">
        <w:tc>
          <w:tcPr>
            <w:tcW w:w="4595" w:type="dxa"/>
            <w:tcMar>
              <w:top w:w="28" w:type="dxa"/>
              <w:bottom w:w="28" w:type="dxa"/>
            </w:tcMar>
          </w:tcPr>
          <w:p w:rsidR="00376A60" w:rsidRPr="00F769E2" w:rsidRDefault="00376A60" w:rsidP="0058433E">
            <w:pPr>
              <w:rPr>
                <w:rFonts w:cs="Arial"/>
              </w:rPr>
            </w:pPr>
            <w:r>
              <w:rPr>
                <w:rFonts w:cs="Arial"/>
              </w:rPr>
              <w:t xml:space="preserve">Pat Foster, The Care Forum </w:t>
            </w:r>
            <w:proofErr w:type="spellStart"/>
            <w:r>
              <w:rPr>
                <w:rFonts w:cs="Arial"/>
              </w:rPr>
              <w:t>Volunnteer</w:t>
            </w:r>
            <w:proofErr w:type="spellEnd"/>
            <w:r>
              <w:rPr>
                <w:rFonts w:cs="Arial"/>
              </w:rPr>
              <w:t xml:space="preserve"> Coordinator</w:t>
            </w:r>
          </w:p>
        </w:tc>
        <w:tc>
          <w:tcPr>
            <w:tcW w:w="4647" w:type="dxa"/>
            <w:tcMar>
              <w:top w:w="28" w:type="dxa"/>
              <w:bottom w:w="28" w:type="dxa"/>
            </w:tcMar>
          </w:tcPr>
          <w:p w:rsidR="00376A60" w:rsidRPr="00F769E2" w:rsidRDefault="006E3624" w:rsidP="00D01216">
            <w:pPr>
              <w:rPr>
                <w:rFonts w:cs="Arial"/>
              </w:rPr>
            </w:pPr>
            <w:r>
              <w:rPr>
                <w:rFonts w:cs="Arial"/>
              </w:rPr>
              <w:t xml:space="preserve">Tess </w:t>
            </w:r>
            <w:proofErr w:type="spellStart"/>
            <w:r>
              <w:rPr>
                <w:rFonts w:cs="Arial"/>
              </w:rPr>
              <w:t>Trappes</w:t>
            </w:r>
            <w:proofErr w:type="spellEnd"/>
            <w:r>
              <w:rPr>
                <w:rFonts w:cs="Arial"/>
              </w:rPr>
              <w:t>-Lomax, Healthwatch Devon</w:t>
            </w:r>
          </w:p>
        </w:tc>
      </w:tr>
      <w:tr w:rsidR="00376A60" w:rsidTr="00376A60">
        <w:tc>
          <w:tcPr>
            <w:tcW w:w="4595" w:type="dxa"/>
            <w:tcMar>
              <w:top w:w="28" w:type="dxa"/>
              <w:bottom w:w="28" w:type="dxa"/>
            </w:tcMar>
          </w:tcPr>
          <w:p w:rsidR="00376A60" w:rsidRPr="00F769E2" w:rsidRDefault="00376A60" w:rsidP="0058433E">
            <w:pPr>
              <w:rPr>
                <w:rFonts w:cs="Arial"/>
              </w:rPr>
            </w:pPr>
            <w:r>
              <w:rPr>
                <w:rFonts w:cs="Arial"/>
              </w:rPr>
              <w:t>Trish Godfrey, Healthwatch North Somerset</w:t>
            </w:r>
          </w:p>
        </w:tc>
        <w:tc>
          <w:tcPr>
            <w:tcW w:w="4647" w:type="dxa"/>
            <w:tcMar>
              <w:top w:w="28" w:type="dxa"/>
              <w:bottom w:w="28" w:type="dxa"/>
            </w:tcMar>
          </w:tcPr>
          <w:p w:rsidR="00376A60" w:rsidRPr="00F769E2" w:rsidRDefault="006E3624" w:rsidP="00D01216">
            <w:pPr>
              <w:rPr>
                <w:rFonts w:cs="Arial"/>
              </w:rPr>
            </w:pPr>
            <w:r>
              <w:rPr>
                <w:rFonts w:cs="Arial"/>
              </w:rPr>
              <w:t>Paula Williams, Bristol</w:t>
            </w:r>
          </w:p>
        </w:tc>
      </w:tr>
      <w:tr w:rsidR="00376A60" w:rsidTr="00376A60">
        <w:tc>
          <w:tcPr>
            <w:tcW w:w="4595" w:type="dxa"/>
            <w:tcMar>
              <w:top w:w="28" w:type="dxa"/>
              <w:bottom w:w="28" w:type="dxa"/>
            </w:tcMar>
          </w:tcPr>
          <w:p w:rsidR="00376A60" w:rsidRPr="00F769E2" w:rsidRDefault="00376A60" w:rsidP="0058433E">
            <w:pPr>
              <w:rPr>
                <w:rFonts w:cs="Arial"/>
              </w:rPr>
            </w:pPr>
            <w:r>
              <w:rPr>
                <w:rFonts w:cs="Arial"/>
              </w:rPr>
              <w:t xml:space="preserve">Gilly </w:t>
            </w:r>
            <w:proofErr w:type="spellStart"/>
            <w:r>
              <w:rPr>
                <w:rFonts w:cs="Arial"/>
              </w:rPr>
              <w:t>Gotch</w:t>
            </w:r>
            <w:proofErr w:type="spellEnd"/>
            <w:r>
              <w:rPr>
                <w:rFonts w:cs="Arial"/>
              </w:rPr>
              <w:t>, Healthwatch Devon</w:t>
            </w:r>
          </w:p>
        </w:tc>
        <w:tc>
          <w:tcPr>
            <w:tcW w:w="4647" w:type="dxa"/>
            <w:tcMar>
              <w:top w:w="28" w:type="dxa"/>
              <w:bottom w:w="28" w:type="dxa"/>
            </w:tcMar>
          </w:tcPr>
          <w:p w:rsidR="00376A60" w:rsidRPr="00F769E2" w:rsidRDefault="00376A60" w:rsidP="00D01216">
            <w:pPr>
              <w:rPr>
                <w:rFonts w:cs="Arial"/>
              </w:rPr>
            </w:pPr>
          </w:p>
        </w:tc>
      </w:tr>
      <w:tr w:rsidR="00376A60" w:rsidTr="00376A60">
        <w:tc>
          <w:tcPr>
            <w:tcW w:w="4595" w:type="dxa"/>
            <w:tcMar>
              <w:top w:w="28" w:type="dxa"/>
              <w:bottom w:w="28" w:type="dxa"/>
            </w:tcMar>
          </w:tcPr>
          <w:p w:rsidR="00376A60" w:rsidRPr="00F769E2" w:rsidRDefault="00376A60" w:rsidP="00D01216">
            <w:pPr>
              <w:rPr>
                <w:rFonts w:cs="Arial"/>
              </w:rPr>
            </w:pPr>
            <w:r>
              <w:rPr>
                <w:rFonts w:cs="Arial"/>
              </w:rPr>
              <w:t xml:space="preserve">Cliff </w:t>
            </w:r>
            <w:proofErr w:type="spellStart"/>
            <w:r>
              <w:rPr>
                <w:rFonts w:cs="Arial"/>
              </w:rPr>
              <w:t>Puddy</w:t>
            </w:r>
            <w:proofErr w:type="spellEnd"/>
            <w:r>
              <w:rPr>
                <w:rFonts w:cs="Arial"/>
              </w:rPr>
              <w:t>, Healthwatch Somerset</w:t>
            </w:r>
          </w:p>
        </w:tc>
        <w:tc>
          <w:tcPr>
            <w:tcW w:w="4647" w:type="dxa"/>
            <w:tcMar>
              <w:top w:w="28" w:type="dxa"/>
              <w:bottom w:w="28" w:type="dxa"/>
            </w:tcMar>
          </w:tcPr>
          <w:p w:rsidR="00376A60" w:rsidRPr="00F769E2" w:rsidRDefault="00376A60" w:rsidP="00D01216">
            <w:pPr>
              <w:rPr>
                <w:rFonts w:cs="Arial"/>
              </w:rPr>
            </w:pPr>
          </w:p>
        </w:tc>
      </w:tr>
      <w:tr w:rsidR="00376A60" w:rsidTr="00376A60">
        <w:tc>
          <w:tcPr>
            <w:tcW w:w="4595" w:type="dxa"/>
            <w:tcMar>
              <w:top w:w="28" w:type="dxa"/>
              <w:bottom w:w="28" w:type="dxa"/>
            </w:tcMar>
          </w:tcPr>
          <w:p w:rsidR="00376A60" w:rsidRPr="00F769E2" w:rsidRDefault="006E3624" w:rsidP="00D01216">
            <w:pPr>
              <w:rPr>
                <w:rFonts w:cs="Arial"/>
              </w:rPr>
            </w:pPr>
            <w:r>
              <w:rPr>
                <w:rFonts w:cs="Arial"/>
              </w:rPr>
              <w:t xml:space="preserve">Sarah </w:t>
            </w:r>
            <w:proofErr w:type="spellStart"/>
            <w:r>
              <w:rPr>
                <w:rFonts w:cs="Arial"/>
              </w:rPr>
              <w:t>Redka</w:t>
            </w:r>
            <w:proofErr w:type="spellEnd"/>
            <w:r>
              <w:rPr>
                <w:rFonts w:cs="Arial"/>
              </w:rPr>
              <w:t>, South West Senate Support Officer</w:t>
            </w:r>
          </w:p>
        </w:tc>
        <w:tc>
          <w:tcPr>
            <w:tcW w:w="4647" w:type="dxa"/>
            <w:tcMar>
              <w:top w:w="28" w:type="dxa"/>
              <w:bottom w:w="28" w:type="dxa"/>
            </w:tcMar>
          </w:tcPr>
          <w:p w:rsidR="00376A60" w:rsidRPr="00F769E2" w:rsidRDefault="00376A60" w:rsidP="00D01216">
            <w:pPr>
              <w:rPr>
                <w:rFonts w:cs="Arial"/>
              </w:rPr>
            </w:pPr>
          </w:p>
        </w:tc>
      </w:tr>
      <w:tr w:rsidR="00376A60" w:rsidTr="00376A60">
        <w:tc>
          <w:tcPr>
            <w:tcW w:w="4595" w:type="dxa"/>
            <w:tcMar>
              <w:top w:w="28" w:type="dxa"/>
              <w:bottom w:w="28" w:type="dxa"/>
            </w:tcMar>
          </w:tcPr>
          <w:p w:rsidR="00376A60" w:rsidRPr="00F769E2" w:rsidRDefault="006E3624" w:rsidP="00D01216">
            <w:pPr>
              <w:rPr>
                <w:rFonts w:cs="Arial"/>
              </w:rPr>
            </w:pPr>
            <w:r>
              <w:rPr>
                <w:rFonts w:cs="Arial"/>
              </w:rPr>
              <w:t>Graham Taylor, Healthwatch Cornwall</w:t>
            </w:r>
          </w:p>
        </w:tc>
        <w:tc>
          <w:tcPr>
            <w:tcW w:w="4647" w:type="dxa"/>
            <w:tcMar>
              <w:top w:w="28" w:type="dxa"/>
              <w:bottom w:w="28" w:type="dxa"/>
            </w:tcMar>
          </w:tcPr>
          <w:p w:rsidR="00376A60" w:rsidRPr="00F769E2" w:rsidRDefault="00376A60" w:rsidP="00D01216">
            <w:pPr>
              <w:rPr>
                <w:rFonts w:cs="Arial"/>
              </w:rPr>
            </w:pPr>
          </w:p>
        </w:tc>
      </w:tr>
      <w:tr w:rsidR="00376A60" w:rsidTr="00376A60">
        <w:tc>
          <w:tcPr>
            <w:tcW w:w="4595" w:type="dxa"/>
            <w:tcMar>
              <w:top w:w="28" w:type="dxa"/>
              <w:bottom w:w="28" w:type="dxa"/>
            </w:tcMar>
          </w:tcPr>
          <w:p w:rsidR="00376A60" w:rsidRPr="00F769E2" w:rsidRDefault="006E3624" w:rsidP="006E3624">
            <w:pPr>
              <w:rPr>
                <w:rFonts w:cs="Arial"/>
              </w:rPr>
            </w:pPr>
            <w:r>
              <w:rPr>
                <w:rFonts w:cs="Arial"/>
              </w:rPr>
              <w:t>Malcolm Watson, Healthwatch South Gloucestershire</w:t>
            </w:r>
          </w:p>
        </w:tc>
        <w:tc>
          <w:tcPr>
            <w:tcW w:w="4647" w:type="dxa"/>
            <w:tcMar>
              <w:top w:w="28" w:type="dxa"/>
              <w:bottom w:w="28" w:type="dxa"/>
            </w:tcMar>
          </w:tcPr>
          <w:p w:rsidR="00376A60" w:rsidRPr="00F769E2" w:rsidRDefault="00376A60" w:rsidP="00D01216">
            <w:pPr>
              <w:rPr>
                <w:rFonts w:cs="Arial"/>
              </w:rPr>
            </w:pPr>
          </w:p>
        </w:tc>
      </w:tr>
      <w:tr w:rsidR="00376A60" w:rsidTr="00376A60">
        <w:tc>
          <w:tcPr>
            <w:tcW w:w="4595" w:type="dxa"/>
            <w:tcMar>
              <w:top w:w="28" w:type="dxa"/>
              <w:bottom w:w="28" w:type="dxa"/>
            </w:tcMar>
          </w:tcPr>
          <w:p w:rsidR="00376A60" w:rsidRPr="00F769E2" w:rsidRDefault="006E3624" w:rsidP="00D01216">
            <w:pPr>
              <w:rPr>
                <w:rFonts w:cs="Arial"/>
              </w:rPr>
            </w:pPr>
            <w:r>
              <w:rPr>
                <w:rFonts w:cs="Arial"/>
              </w:rPr>
              <w:t>Phil Yates, South West Senate Chair</w:t>
            </w:r>
          </w:p>
        </w:tc>
        <w:tc>
          <w:tcPr>
            <w:tcW w:w="4647" w:type="dxa"/>
            <w:tcMar>
              <w:top w:w="28" w:type="dxa"/>
              <w:bottom w:w="28" w:type="dxa"/>
            </w:tcMar>
          </w:tcPr>
          <w:p w:rsidR="00376A60" w:rsidRPr="00F769E2" w:rsidRDefault="00376A60" w:rsidP="00D01216">
            <w:pPr>
              <w:rPr>
                <w:rFonts w:cs="Arial"/>
              </w:rPr>
            </w:pPr>
          </w:p>
        </w:tc>
      </w:tr>
    </w:tbl>
    <w:p w:rsidR="008E42DB" w:rsidRPr="00C663B7" w:rsidRDefault="008E42DB" w:rsidP="008E42DB">
      <w:pPr>
        <w:rPr>
          <w:rFonts w:cs="Arial"/>
          <w:b/>
        </w:rPr>
      </w:pPr>
    </w:p>
    <w:p w:rsidR="008E42DB" w:rsidRPr="00C663B7" w:rsidRDefault="008E42DB" w:rsidP="008E42DB">
      <w:pPr>
        <w:rPr>
          <w:rFonts w:cs="Arial"/>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603"/>
        <w:gridCol w:w="17"/>
        <w:gridCol w:w="7234"/>
        <w:gridCol w:w="18"/>
        <w:gridCol w:w="1381"/>
      </w:tblGrid>
      <w:tr w:rsidR="008E42DB" w:rsidRPr="00E572BB" w:rsidTr="00B75724">
        <w:tc>
          <w:tcPr>
            <w:tcW w:w="610" w:type="dxa"/>
            <w:tcMar>
              <w:left w:w="28" w:type="dxa"/>
              <w:right w:w="28" w:type="dxa"/>
            </w:tcMar>
          </w:tcPr>
          <w:p w:rsidR="008E42DB" w:rsidRPr="00E572BB" w:rsidRDefault="008E42DB" w:rsidP="00D01216">
            <w:pPr>
              <w:ind w:left="360"/>
              <w:rPr>
                <w:rFonts w:cs="Arial"/>
                <w:b/>
                <w:szCs w:val="22"/>
              </w:rPr>
            </w:pPr>
          </w:p>
        </w:tc>
        <w:tc>
          <w:tcPr>
            <w:tcW w:w="7438" w:type="dxa"/>
            <w:gridSpan w:val="2"/>
          </w:tcPr>
          <w:p w:rsidR="008E42DB" w:rsidRPr="00E572BB" w:rsidRDefault="008E42DB" w:rsidP="00D01216">
            <w:pPr>
              <w:rPr>
                <w:rFonts w:cs="Arial"/>
                <w:b/>
                <w:szCs w:val="22"/>
              </w:rPr>
            </w:pPr>
          </w:p>
        </w:tc>
        <w:tc>
          <w:tcPr>
            <w:tcW w:w="1205" w:type="dxa"/>
            <w:gridSpan w:val="2"/>
          </w:tcPr>
          <w:p w:rsidR="008E42DB" w:rsidRPr="00E572BB" w:rsidRDefault="008E42DB" w:rsidP="00D01216">
            <w:pPr>
              <w:jc w:val="both"/>
              <w:rPr>
                <w:rFonts w:cs="Arial"/>
                <w:b/>
                <w:szCs w:val="22"/>
              </w:rPr>
            </w:pPr>
            <w:r w:rsidRPr="00E572BB">
              <w:rPr>
                <w:rFonts w:cs="Arial"/>
                <w:b/>
                <w:szCs w:val="22"/>
              </w:rPr>
              <w:t>Action</w:t>
            </w:r>
          </w:p>
        </w:tc>
      </w:tr>
      <w:tr w:rsidR="008E42DB" w:rsidRPr="00E572BB" w:rsidTr="00B75724">
        <w:tc>
          <w:tcPr>
            <w:tcW w:w="610" w:type="dxa"/>
            <w:tcMar>
              <w:left w:w="28" w:type="dxa"/>
              <w:right w:w="28" w:type="dxa"/>
            </w:tcMar>
          </w:tcPr>
          <w:p w:rsidR="008E42DB" w:rsidRPr="00E572BB" w:rsidRDefault="008E42DB" w:rsidP="00D01216">
            <w:pPr>
              <w:rPr>
                <w:rFonts w:cs="Arial"/>
                <w:b/>
                <w:szCs w:val="22"/>
              </w:rPr>
            </w:pPr>
            <w:r w:rsidRPr="00E572BB">
              <w:rPr>
                <w:rFonts w:cs="Arial"/>
                <w:b/>
                <w:szCs w:val="22"/>
              </w:rPr>
              <w:t>1</w:t>
            </w:r>
          </w:p>
        </w:tc>
        <w:tc>
          <w:tcPr>
            <w:tcW w:w="7438" w:type="dxa"/>
            <w:gridSpan w:val="2"/>
          </w:tcPr>
          <w:p w:rsidR="008E42DB" w:rsidRPr="00E572BB" w:rsidRDefault="006E3624" w:rsidP="00D01216">
            <w:pPr>
              <w:rPr>
                <w:rFonts w:cs="Arial"/>
                <w:szCs w:val="22"/>
              </w:rPr>
            </w:pPr>
            <w:r>
              <w:rPr>
                <w:rFonts w:cs="Arial"/>
                <w:b/>
                <w:szCs w:val="22"/>
              </w:rPr>
              <w:t>Welcome and</w:t>
            </w:r>
            <w:r w:rsidR="008E42DB" w:rsidRPr="00E572BB">
              <w:rPr>
                <w:rFonts w:cs="Arial"/>
                <w:b/>
                <w:szCs w:val="22"/>
              </w:rPr>
              <w:t xml:space="preserve"> </w:t>
            </w:r>
            <w:r>
              <w:rPr>
                <w:rFonts w:cs="Arial"/>
                <w:b/>
                <w:szCs w:val="22"/>
              </w:rPr>
              <w:t xml:space="preserve">introductions </w:t>
            </w:r>
          </w:p>
        </w:tc>
        <w:tc>
          <w:tcPr>
            <w:tcW w:w="1205" w:type="dxa"/>
            <w:gridSpan w:val="2"/>
          </w:tcPr>
          <w:p w:rsidR="008E42DB" w:rsidRPr="00E572BB" w:rsidRDefault="008E42DB" w:rsidP="00D01216">
            <w:pPr>
              <w:ind w:left="91"/>
              <w:jc w:val="center"/>
              <w:rPr>
                <w:rFonts w:cs="Arial"/>
                <w:b/>
                <w:szCs w:val="22"/>
              </w:rPr>
            </w:pPr>
          </w:p>
        </w:tc>
      </w:tr>
      <w:tr w:rsidR="008E42DB" w:rsidRPr="00E572BB" w:rsidTr="00B75724">
        <w:tc>
          <w:tcPr>
            <w:tcW w:w="610" w:type="dxa"/>
            <w:tcMar>
              <w:left w:w="28" w:type="dxa"/>
              <w:right w:w="28" w:type="dxa"/>
            </w:tcMar>
          </w:tcPr>
          <w:p w:rsidR="008E42DB" w:rsidRPr="00E572BB" w:rsidRDefault="008E42DB" w:rsidP="00D01216">
            <w:pPr>
              <w:rPr>
                <w:rFonts w:cs="Arial"/>
                <w:b/>
                <w:szCs w:val="22"/>
              </w:rPr>
            </w:pPr>
          </w:p>
        </w:tc>
        <w:tc>
          <w:tcPr>
            <w:tcW w:w="7438" w:type="dxa"/>
            <w:gridSpan w:val="2"/>
          </w:tcPr>
          <w:p w:rsidR="008E42DB" w:rsidRPr="00E572BB" w:rsidRDefault="008E42DB" w:rsidP="00D01216">
            <w:pPr>
              <w:rPr>
                <w:rFonts w:cs="Arial"/>
                <w:szCs w:val="22"/>
              </w:rPr>
            </w:pPr>
            <w:r w:rsidRPr="00E572BB">
              <w:rPr>
                <w:rFonts w:cs="Arial"/>
                <w:szCs w:val="22"/>
              </w:rPr>
              <w:t>Round table introductions – attendance and apologies listed above</w:t>
            </w:r>
            <w:r>
              <w:rPr>
                <w:rFonts w:cs="Arial"/>
                <w:szCs w:val="22"/>
              </w:rPr>
              <w:t>.</w:t>
            </w:r>
          </w:p>
        </w:tc>
        <w:tc>
          <w:tcPr>
            <w:tcW w:w="1205" w:type="dxa"/>
            <w:gridSpan w:val="2"/>
          </w:tcPr>
          <w:p w:rsidR="008E42DB" w:rsidRPr="00E572BB" w:rsidRDefault="008E42DB" w:rsidP="00D01216">
            <w:pPr>
              <w:ind w:left="91"/>
              <w:jc w:val="center"/>
              <w:rPr>
                <w:rFonts w:cs="Arial"/>
                <w:b/>
                <w:szCs w:val="22"/>
              </w:rPr>
            </w:pPr>
          </w:p>
        </w:tc>
      </w:tr>
      <w:tr w:rsidR="006E3624" w:rsidRPr="00E572BB" w:rsidTr="00B75724">
        <w:tc>
          <w:tcPr>
            <w:tcW w:w="610" w:type="dxa"/>
            <w:tcMar>
              <w:left w:w="28" w:type="dxa"/>
              <w:right w:w="28" w:type="dxa"/>
            </w:tcMar>
          </w:tcPr>
          <w:p w:rsidR="006E3624" w:rsidRPr="00E572BB" w:rsidRDefault="006E3624" w:rsidP="00D01216">
            <w:pPr>
              <w:rPr>
                <w:rFonts w:cs="Arial"/>
                <w:b/>
                <w:szCs w:val="22"/>
              </w:rPr>
            </w:pPr>
            <w:r>
              <w:rPr>
                <w:rFonts w:cs="Arial"/>
                <w:b/>
                <w:szCs w:val="22"/>
              </w:rPr>
              <w:t>2</w:t>
            </w:r>
          </w:p>
        </w:tc>
        <w:tc>
          <w:tcPr>
            <w:tcW w:w="7438" w:type="dxa"/>
            <w:gridSpan w:val="2"/>
          </w:tcPr>
          <w:p w:rsidR="006E3624" w:rsidRPr="006E3624" w:rsidRDefault="006E3624" w:rsidP="00D01216">
            <w:pPr>
              <w:rPr>
                <w:rFonts w:cs="Arial"/>
                <w:b/>
                <w:szCs w:val="22"/>
              </w:rPr>
            </w:pPr>
            <w:r w:rsidRPr="006E3624">
              <w:rPr>
                <w:rFonts w:cs="Arial"/>
                <w:b/>
                <w:szCs w:val="22"/>
              </w:rPr>
              <w:t>Senate and CA Business Session</w:t>
            </w:r>
          </w:p>
        </w:tc>
        <w:tc>
          <w:tcPr>
            <w:tcW w:w="1205" w:type="dxa"/>
            <w:gridSpan w:val="2"/>
          </w:tcPr>
          <w:p w:rsidR="006E3624" w:rsidRPr="00E572BB" w:rsidRDefault="006E3624" w:rsidP="00D01216">
            <w:pPr>
              <w:ind w:left="91"/>
              <w:jc w:val="center"/>
              <w:rPr>
                <w:rFonts w:cs="Arial"/>
                <w:b/>
                <w:szCs w:val="22"/>
              </w:rPr>
            </w:pPr>
          </w:p>
        </w:tc>
      </w:tr>
      <w:tr w:rsidR="00F544CB" w:rsidRPr="00E572BB" w:rsidTr="00B75724">
        <w:tc>
          <w:tcPr>
            <w:tcW w:w="610" w:type="dxa"/>
            <w:tcMar>
              <w:left w:w="28" w:type="dxa"/>
              <w:right w:w="28" w:type="dxa"/>
            </w:tcMar>
          </w:tcPr>
          <w:p w:rsidR="00F544CB" w:rsidRDefault="00F544CB" w:rsidP="00D01216">
            <w:pPr>
              <w:rPr>
                <w:rFonts w:cs="Arial"/>
                <w:b/>
                <w:szCs w:val="22"/>
              </w:rPr>
            </w:pPr>
            <w:r>
              <w:rPr>
                <w:rFonts w:cs="Arial"/>
                <w:b/>
                <w:szCs w:val="22"/>
              </w:rPr>
              <w:t>2.1</w:t>
            </w:r>
          </w:p>
        </w:tc>
        <w:tc>
          <w:tcPr>
            <w:tcW w:w="7438" w:type="dxa"/>
            <w:gridSpan w:val="2"/>
          </w:tcPr>
          <w:p w:rsidR="00F544CB" w:rsidRPr="006E3624" w:rsidRDefault="00F544CB" w:rsidP="00D01216">
            <w:pPr>
              <w:rPr>
                <w:rFonts w:cs="Arial"/>
                <w:b/>
                <w:szCs w:val="22"/>
              </w:rPr>
            </w:pPr>
            <w:r>
              <w:rPr>
                <w:rFonts w:cs="Arial"/>
                <w:b/>
                <w:szCs w:val="22"/>
              </w:rPr>
              <w:t>Terms of Reference</w:t>
            </w:r>
          </w:p>
        </w:tc>
        <w:tc>
          <w:tcPr>
            <w:tcW w:w="1205" w:type="dxa"/>
            <w:gridSpan w:val="2"/>
          </w:tcPr>
          <w:p w:rsidR="00F544CB" w:rsidRPr="00E572BB" w:rsidRDefault="00F544CB" w:rsidP="00D01216">
            <w:pPr>
              <w:ind w:left="91"/>
              <w:jc w:val="center"/>
              <w:rPr>
                <w:rFonts w:cs="Arial"/>
                <w:b/>
                <w:szCs w:val="22"/>
              </w:rPr>
            </w:pPr>
          </w:p>
        </w:tc>
      </w:tr>
      <w:tr w:rsidR="00F544CB" w:rsidRPr="00E572BB" w:rsidTr="00B75724">
        <w:tc>
          <w:tcPr>
            <w:tcW w:w="610" w:type="dxa"/>
            <w:tcMar>
              <w:left w:w="28" w:type="dxa"/>
              <w:right w:w="28" w:type="dxa"/>
            </w:tcMar>
          </w:tcPr>
          <w:p w:rsidR="00F544CB" w:rsidRDefault="00F544CB" w:rsidP="00D01216">
            <w:pPr>
              <w:rPr>
                <w:rFonts w:cs="Arial"/>
                <w:b/>
                <w:szCs w:val="22"/>
              </w:rPr>
            </w:pPr>
          </w:p>
        </w:tc>
        <w:tc>
          <w:tcPr>
            <w:tcW w:w="7438" w:type="dxa"/>
            <w:gridSpan w:val="2"/>
          </w:tcPr>
          <w:p w:rsidR="00F544CB" w:rsidRPr="00F544CB" w:rsidRDefault="00F544CB" w:rsidP="00D01216">
            <w:pPr>
              <w:rPr>
                <w:rFonts w:cs="Arial"/>
                <w:szCs w:val="22"/>
              </w:rPr>
            </w:pPr>
            <w:r w:rsidRPr="00F544CB">
              <w:rPr>
                <w:rFonts w:cs="Arial"/>
                <w:szCs w:val="22"/>
              </w:rPr>
              <w:t>The Citizens’</w:t>
            </w:r>
            <w:r>
              <w:rPr>
                <w:rFonts w:cs="Arial"/>
                <w:szCs w:val="22"/>
              </w:rPr>
              <w:t xml:space="preserve"> Assembly (CA) Terms of R</w:t>
            </w:r>
            <w:r w:rsidRPr="00F544CB">
              <w:rPr>
                <w:rFonts w:cs="Arial"/>
                <w:szCs w:val="22"/>
              </w:rPr>
              <w:t xml:space="preserve">eference </w:t>
            </w:r>
            <w:r>
              <w:rPr>
                <w:rFonts w:cs="Arial"/>
                <w:szCs w:val="22"/>
              </w:rPr>
              <w:t>(</w:t>
            </w:r>
            <w:proofErr w:type="spellStart"/>
            <w:r>
              <w:rPr>
                <w:rFonts w:cs="Arial"/>
                <w:szCs w:val="22"/>
              </w:rPr>
              <w:t>ToR</w:t>
            </w:r>
            <w:proofErr w:type="spellEnd"/>
            <w:r>
              <w:rPr>
                <w:rFonts w:cs="Arial"/>
                <w:szCs w:val="22"/>
              </w:rPr>
              <w:t xml:space="preserve">) </w:t>
            </w:r>
            <w:r w:rsidRPr="00F544CB">
              <w:rPr>
                <w:rFonts w:cs="Arial"/>
                <w:szCs w:val="22"/>
              </w:rPr>
              <w:t xml:space="preserve">are reviewed annually.  </w:t>
            </w:r>
            <w:proofErr w:type="spellStart"/>
            <w:r w:rsidRPr="00F544CB">
              <w:rPr>
                <w:rFonts w:cs="Arial"/>
                <w:szCs w:val="22"/>
              </w:rPr>
              <w:t>SRedka</w:t>
            </w:r>
            <w:proofErr w:type="spellEnd"/>
            <w:r w:rsidRPr="00F544CB">
              <w:rPr>
                <w:rFonts w:cs="Arial"/>
                <w:szCs w:val="22"/>
              </w:rPr>
              <w:t xml:space="preserve"> reviewed and made minor amendments to the </w:t>
            </w:r>
            <w:proofErr w:type="spellStart"/>
            <w:r w:rsidRPr="00F544CB">
              <w:rPr>
                <w:rFonts w:cs="Arial"/>
                <w:szCs w:val="22"/>
              </w:rPr>
              <w:t>ToR</w:t>
            </w:r>
            <w:proofErr w:type="spellEnd"/>
            <w:r w:rsidRPr="00F544CB">
              <w:rPr>
                <w:rFonts w:cs="Arial"/>
                <w:szCs w:val="22"/>
              </w:rPr>
              <w:t xml:space="preserve"> and these were circulated prior to the meeti</w:t>
            </w:r>
            <w:r>
              <w:rPr>
                <w:rFonts w:cs="Arial"/>
                <w:szCs w:val="22"/>
              </w:rPr>
              <w:t>ng for information.</w:t>
            </w:r>
          </w:p>
        </w:tc>
        <w:tc>
          <w:tcPr>
            <w:tcW w:w="1205" w:type="dxa"/>
            <w:gridSpan w:val="2"/>
          </w:tcPr>
          <w:p w:rsidR="00F544CB" w:rsidRPr="00E572BB" w:rsidRDefault="00F544CB" w:rsidP="00D01216">
            <w:pPr>
              <w:ind w:left="91"/>
              <w:jc w:val="center"/>
              <w:rPr>
                <w:rFonts w:cs="Arial"/>
                <w:b/>
                <w:szCs w:val="22"/>
              </w:rPr>
            </w:pPr>
          </w:p>
        </w:tc>
      </w:tr>
      <w:tr w:rsidR="00F544CB" w:rsidRPr="00E572BB" w:rsidTr="00B75724">
        <w:tc>
          <w:tcPr>
            <w:tcW w:w="610" w:type="dxa"/>
            <w:tcMar>
              <w:left w:w="28" w:type="dxa"/>
              <w:right w:w="28" w:type="dxa"/>
            </w:tcMar>
          </w:tcPr>
          <w:p w:rsidR="00F544CB" w:rsidRDefault="00F544CB" w:rsidP="00D01216">
            <w:pPr>
              <w:rPr>
                <w:rFonts w:cs="Arial"/>
                <w:b/>
                <w:szCs w:val="22"/>
              </w:rPr>
            </w:pPr>
            <w:r>
              <w:rPr>
                <w:rFonts w:cs="Arial"/>
                <w:b/>
                <w:szCs w:val="22"/>
              </w:rPr>
              <w:t>2.2</w:t>
            </w:r>
          </w:p>
        </w:tc>
        <w:tc>
          <w:tcPr>
            <w:tcW w:w="7438" w:type="dxa"/>
            <w:gridSpan w:val="2"/>
          </w:tcPr>
          <w:p w:rsidR="00F544CB" w:rsidRPr="00F544CB" w:rsidRDefault="00F544CB" w:rsidP="00D01216">
            <w:pPr>
              <w:rPr>
                <w:rFonts w:cs="Arial"/>
                <w:b/>
                <w:szCs w:val="22"/>
              </w:rPr>
            </w:pPr>
            <w:r w:rsidRPr="00F544CB">
              <w:rPr>
                <w:rFonts w:cs="Arial"/>
                <w:b/>
                <w:szCs w:val="22"/>
              </w:rPr>
              <w:t>Senate and CA work plans</w:t>
            </w:r>
          </w:p>
        </w:tc>
        <w:tc>
          <w:tcPr>
            <w:tcW w:w="1205" w:type="dxa"/>
            <w:gridSpan w:val="2"/>
          </w:tcPr>
          <w:p w:rsidR="00F544CB" w:rsidRPr="00E572BB" w:rsidRDefault="00F544CB" w:rsidP="00D01216">
            <w:pPr>
              <w:ind w:left="91"/>
              <w:jc w:val="center"/>
              <w:rPr>
                <w:rFonts w:cs="Arial"/>
                <w:b/>
                <w:szCs w:val="22"/>
              </w:rPr>
            </w:pPr>
          </w:p>
        </w:tc>
      </w:tr>
      <w:tr w:rsidR="00F544CB" w:rsidRPr="00E572BB" w:rsidTr="00B75724">
        <w:tc>
          <w:tcPr>
            <w:tcW w:w="610" w:type="dxa"/>
            <w:tcMar>
              <w:left w:w="28" w:type="dxa"/>
              <w:right w:w="28" w:type="dxa"/>
            </w:tcMar>
          </w:tcPr>
          <w:p w:rsidR="00F544CB" w:rsidRDefault="00F544CB" w:rsidP="00D01216">
            <w:pPr>
              <w:rPr>
                <w:rFonts w:cs="Arial"/>
                <w:b/>
                <w:szCs w:val="22"/>
              </w:rPr>
            </w:pPr>
          </w:p>
        </w:tc>
        <w:tc>
          <w:tcPr>
            <w:tcW w:w="7438" w:type="dxa"/>
            <w:gridSpan w:val="2"/>
          </w:tcPr>
          <w:p w:rsidR="00A13AEF" w:rsidRDefault="00A13AEF" w:rsidP="00D01216">
            <w:pPr>
              <w:rPr>
                <w:rFonts w:cs="Arial"/>
                <w:szCs w:val="22"/>
              </w:rPr>
            </w:pPr>
            <w:r>
              <w:rPr>
                <w:rFonts w:cs="Arial"/>
                <w:szCs w:val="22"/>
              </w:rPr>
              <w:t>The Senate and the CA work plans were circulated prior to the meeting for information.  The CA work plan mirrors the upcoming work of the Senate.  This is a rolling programme and is updated throughout the year.</w:t>
            </w:r>
          </w:p>
          <w:p w:rsidR="009D2E17" w:rsidRDefault="009D2E17" w:rsidP="009D2E17">
            <w:pPr>
              <w:rPr>
                <w:rFonts w:cs="Arial"/>
                <w:szCs w:val="22"/>
              </w:rPr>
            </w:pPr>
            <w:r>
              <w:rPr>
                <w:rFonts w:cs="Arial"/>
                <w:szCs w:val="22"/>
              </w:rPr>
              <w:t xml:space="preserve">Caroline </w:t>
            </w:r>
            <w:proofErr w:type="spellStart"/>
            <w:r>
              <w:rPr>
                <w:rFonts w:cs="Arial"/>
                <w:szCs w:val="22"/>
              </w:rPr>
              <w:t>Gamlin</w:t>
            </w:r>
            <w:proofErr w:type="spellEnd"/>
            <w:r>
              <w:rPr>
                <w:rFonts w:cs="Arial"/>
                <w:szCs w:val="22"/>
              </w:rPr>
              <w:t xml:space="preserve"> the South West Medical Director has suggested the CA work on developing </w:t>
            </w:r>
            <w:proofErr w:type="gramStart"/>
            <w:r>
              <w:rPr>
                <w:rFonts w:cs="Arial"/>
                <w:szCs w:val="22"/>
              </w:rPr>
              <w:t>a one</w:t>
            </w:r>
            <w:proofErr w:type="gramEnd"/>
            <w:r>
              <w:rPr>
                <w:rFonts w:cs="Arial"/>
                <w:szCs w:val="22"/>
              </w:rPr>
              <w:t xml:space="preserve"> page guidance for Clinical Commissioning Groups (CCG</w:t>
            </w:r>
            <w:r w:rsidR="000536BD">
              <w:rPr>
                <w:rFonts w:cs="Arial"/>
                <w:szCs w:val="22"/>
              </w:rPr>
              <w:t>s</w:t>
            </w:r>
            <w:r>
              <w:rPr>
                <w:rFonts w:cs="Arial"/>
                <w:szCs w:val="22"/>
              </w:rPr>
              <w:t xml:space="preserve">) </w:t>
            </w:r>
            <w:r w:rsidR="00205430">
              <w:rPr>
                <w:rFonts w:cs="Arial"/>
                <w:szCs w:val="22"/>
              </w:rPr>
              <w:t>about the key points from the CA perspective that need to be taken into account within STPs and proposals for large scale service change.  This would include a checklist of what CCGs need to</w:t>
            </w:r>
            <w:r>
              <w:rPr>
                <w:rFonts w:cs="Arial"/>
                <w:szCs w:val="22"/>
              </w:rPr>
              <w:t xml:space="preserve"> </w:t>
            </w:r>
            <w:r>
              <w:rPr>
                <w:rFonts w:cs="Arial"/>
                <w:szCs w:val="22"/>
              </w:rPr>
              <w:lastRenderedPageBreak/>
              <w:t xml:space="preserve">think about and include in their clinical review documentation (pre-consultation business case (PCBC)) in order to ensure their plans are well prepared and suitable for </w:t>
            </w:r>
            <w:r w:rsidR="00205430">
              <w:rPr>
                <w:rFonts w:cs="Arial"/>
                <w:szCs w:val="22"/>
              </w:rPr>
              <w:t>review by citizen representatives in order that they ‘get it right’ from the start</w:t>
            </w:r>
            <w:r>
              <w:rPr>
                <w:rFonts w:cs="Arial"/>
                <w:szCs w:val="22"/>
              </w:rPr>
              <w:t xml:space="preserve">.  The CA members present agreed this was a worthy piece of work and the Senate team will liaise with </w:t>
            </w:r>
            <w:proofErr w:type="spellStart"/>
            <w:r>
              <w:rPr>
                <w:rFonts w:cs="Arial"/>
                <w:szCs w:val="22"/>
              </w:rPr>
              <w:t>KDixon</w:t>
            </w:r>
            <w:proofErr w:type="spellEnd"/>
            <w:r>
              <w:rPr>
                <w:rFonts w:cs="Arial"/>
                <w:szCs w:val="22"/>
              </w:rPr>
              <w:t xml:space="preserve"> with regards to the brief and taking this forward.</w:t>
            </w:r>
          </w:p>
          <w:p w:rsidR="009D2E17" w:rsidRDefault="009D2E17" w:rsidP="009D2E17">
            <w:pPr>
              <w:rPr>
                <w:rFonts w:cs="Arial"/>
                <w:szCs w:val="22"/>
              </w:rPr>
            </w:pPr>
            <w:r>
              <w:rPr>
                <w:rFonts w:cs="Arial"/>
                <w:b/>
                <w:szCs w:val="22"/>
              </w:rPr>
              <w:t>SR to prepare a project brief and confirm a date for the CA to work on this.</w:t>
            </w:r>
          </w:p>
        </w:tc>
        <w:tc>
          <w:tcPr>
            <w:tcW w:w="1205" w:type="dxa"/>
            <w:gridSpan w:val="2"/>
          </w:tcPr>
          <w:p w:rsidR="009D2E17" w:rsidRDefault="009D2E17" w:rsidP="009D2E17">
            <w:pPr>
              <w:ind w:left="91"/>
              <w:rPr>
                <w:rFonts w:cs="Arial"/>
                <w:b/>
                <w:szCs w:val="22"/>
              </w:rPr>
            </w:pPr>
            <w:r>
              <w:rPr>
                <w:rFonts w:cs="Arial"/>
                <w:b/>
                <w:szCs w:val="22"/>
              </w:rPr>
              <w:lastRenderedPageBreak/>
              <w:t xml:space="preserve">                                 </w:t>
            </w:r>
          </w:p>
          <w:p w:rsidR="009D2E17" w:rsidRDefault="009D2E17" w:rsidP="009D2E17">
            <w:pPr>
              <w:ind w:left="91"/>
              <w:rPr>
                <w:rFonts w:cs="Arial"/>
                <w:b/>
                <w:szCs w:val="22"/>
              </w:rPr>
            </w:pPr>
          </w:p>
          <w:p w:rsidR="009D2E17" w:rsidRDefault="009D2E17" w:rsidP="009D2E17">
            <w:pPr>
              <w:ind w:left="91"/>
              <w:rPr>
                <w:rFonts w:cs="Arial"/>
                <w:b/>
                <w:szCs w:val="22"/>
              </w:rPr>
            </w:pPr>
          </w:p>
          <w:p w:rsidR="009D2E17" w:rsidRDefault="009D2E17" w:rsidP="009D2E17">
            <w:pPr>
              <w:ind w:left="91"/>
              <w:rPr>
                <w:rFonts w:cs="Arial"/>
                <w:b/>
                <w:szCs w:val="22"/>
              </w:rPr>
            </w:pPr>
          </w:p>
          <w:p w:rsidR="009D2E17" w:rsidRDefault="009D2E17" w:rsidP="009D2E17">
            <w:pPr>
              <w:ind w:left="91"/>
              <w:rPr>
                <w:rFonts w:cs="Arial"/>
                <w:b/>
                <w:szCs w:val="22"/>
              </w:rPr>
            </w:pPr>
          </w:p>
          <w:p w:rsidR="009D2E17" w:rsidRDefault="009D2E17" w:rsidP="009D2E17">
            <w:pPr>
              <w:ind w:left="91"/>
              <w:rPr>
                <w:rFonts w:cs="Arial"/>
                <w:b/>
                <w:szCs w:val="22"/>
              </w:rPr>
            </w:pPr>
          </w:p>
          <w:p w:rsidR="009D2E17" w:rsidRDefault="009D2E17" w:rsidP="009D2E17">
            <w:pPr>
              <w:ind w:left="91"/>
              <w:rPr>
                <w:rFonts w:cs="Arial"/>
                <w:b/>
                <w:szCs w:val="22"/>
              </w:rPr>
            </w:pPr>
          </w:p>
          <w:p w:rsidR="009D2E17" w:rsidRDefault="009D2E17" w:rsidP="009D2E17">
            <w:pPr>
              <w:ind w:left="91"/>
              <w:rPr>
                <w:rFonts w:cs="Arial"/>
                <w:b/>
                <w:szCs w:val="22"/>
              </w:rPr>
            </w:pPr>
          </w:p>
          <w:p w:rsidR="009D2E17" w:rsidRDefault="009D2E17" w:rsidP="009D2E17">
            <w:pPr>
              <w:ind w:left="91"/>
              <w:rPr>
                <w:rFonts w:cs="Arial"/>
                <w:b/>
                <w:szCs w:val="22"/>
              </w:rPr>
            </w:pPr>
          </w:p>
          <w:p w:rsidR="009D2E17" w:rsidRDefault="009D2E17" w:rsidP="009D2E17">
            <w:pPr>
              <w:ind w:left="91"/>
              <w:rPr>
                <w:rFonts w:cs="Arial"/>
                <w:b/>
                <w:szCs w:val="22"/>
              </w:rPr>
            </w:pPr>
          </w:p>
          <w:p w:rsidR="009D2E17" w:rsidRDefault="009D2E17" w:rsidP="009D2E17">
            <w:pPr>
              <w:ind w:left="91"/>
              <w:rPr>
                <w:rFonts w:cs="Arial"/>
                <w:b/>
                <w:szCs w:val="22"/>
              </w:rPr>
            </w:pPr>
          </w:p>
          <w:p w:rsidR="00F544CB" w:rsidRPr="00E572BB" w:rsidRDefault="009D2E17" w:rsidP="009D2E17">
            <w:pPr>
              <w:ind w:left="91"/>
              <w:rPr>
                <w:rFonts w:cs="Arial"/>
                <w:b/>
                <w:szCs w:val="22"/>
              </w:rPr>
            </w:pPr>
            <w:r>
              <w:rPr>
                <w:rFonts w:cs="Arial"/>
                <w:b/>
                <w:szCs w:val="22"/>
              </w:rPr>
              <w:t>SR</w:t>
            </w:r>
          </w:p>
        </w:tc>
      </w:tr>
      <w:tr w:rsidR="00A13AEF" w:rsidRPr="00E572BB" w:rsidTr="00B75724">
        <w:tc>
          <w:tcPr>
            <w:tcW w:w="610" w:type="dxa"/>
            <w:tcMar>
              <w:left w:w="28" w:type="dxa"/>
              <w:right w:w="28" w:type="dxa"/>
            </w:tcMar>
          </w:tcPr>
          <w:p w:rsidR="00A13AEF" w:rsidRDefault="00A13AEF" w:rsidP="00D01216">
            <w:pPr>
              <w:rPr>
                <w:rFonts w:cs="Arial"/>
                <w:b/>
                <w:szCs w:val="22"/>
              </w:rPr>
            </w:pPr>
            <w:r>
              <w:rPr>
                <w:rFonts w:cs="Arial"/>
                <w:b/>
                <w:szCs w:val="22"/>
              </w:rPr>
              <w:lastRenderedPageBreak/>
              <w:t>2.3</w:t>
            </w:r>
          </w:p>
        </w:tc>
        <w:tc>
          <w:tcPr>
            <w:tcW w:w="7438" w:type="dxa"/>
            <w:gridSpan w:val="2"/>
          </w:tcPr>
          <w:p w:rsidR="00A13AEF" w:rsidRPr="00A13AEF" w:rsidRDefault="00A13AEF" w:rsidP="00D01216">
            <w:pPr>
              <w:rPr>
                <w:rFonts w:cs="Arial"/>
                <w:b/>
                <w:szCs w:val="22"/>
              </w:rPr>
            </w:pPr>
            <w:r w:rsidRPr="00A13AEF">
              <w:rPr>
                <w:rFonts w:cs="Arial"/>
                <w:b/>
                <w:szCs w:val="22"/>
              </w:rPr>
              <w:t>Clinical Reviews</w:t>
            </w:r>
          </w:p>
        </w:tc>
        <w:tc>
          <w:tcPr>
            <w:tcW w:w="1205" w:type="dxa"/>
            <w:gridSpan w:val="2"/>
          </w:tcPr>
          <w:p w:rsidR="00A13AEF" w:rsidRPr="00E572BB" w:rsidRDefault="00A13AEF" w:rsidP="00D01216">
            <w:pPr>
              <w:ind w:left="91"/>
              <w:jc w:val="center"/>
              <w:rPr>
                <w:rFonts w:cs="Arial"/>
                <w:b/>
                <w:szCs w:val="22"/>
              </w:rPr>
            </w:pPr>
          </w:p>
        </w:tc>
      </w:tr>
      <w:tr w:rsidR="00A13AEF" w:rsidRPr="00E572BB" w:rsidTr="00B75724">
        <w:tc>
          <w:tcPr>
            <w:tcW w:w="610" w:type="dxa"/>
            <w:tcMar>
              <w:left w:w="28" w:type="dxa"/>
              <w:right w:w="28" w:type="dxa"/>
            </w:tcMar>
          </w:tcPr>
          <w:p w:rsidR="00A13AEF" w:rsidRDefault="00A13AEF" w:rsidP="00D01216">
            <w:pPr>
              <w:rPr>
                <w:rFonts w:cs="Arial"/>
                <w:b/>
                <w:szCs w:val="22"/>
              </w:rPr>
            </w:pPr>
          </w:p>
        </w:tc>
        <w:tc>
          <w:tcPr>
            <w:tcW w:w="7438" w:type="dxa"/>
            <w:gridSpan w:val="2"/>
          </w:tcPr>
          <w:p w:rsidR="00A13AEF" w:rsidRPr="00A13AEF" w:rsidRDefault="00A13AEF" w:rsidP="00D01216">
            <w:pPr>
              <w:rPr>
                <w:rFonts w:cs="Arial"/>
                <w:szCs w:val="22"/>
              </w:rPr>
            </w:pPr>
            <w:r w:rsidRPr="00A13AEF">
              <w:rPr>
                <w:rFonts w:cs="Arial"/>
                <w:szCs w:val="22"/>
              </w:rPr>
              <w:t>The Senate will be required to provide clinical review of the following:</w:t>
            </w:r>
          </w:p>
          <w:p w:rsidR="00A13AEF" w:rsidRPr="00A13AEF" w:rsidRDefault="00A13AEF" w:rsidP="00A13AEF">
            <w:pPr>
              <w:pStyle w:val="ListParagraph"/>
              <w:numPr>
                <w:ilvl w:val="0"/>
                <w:numId w:val="1"/>
              </w:numPr>
            </w:pPr>
            <w:r w:rsidRPr="00A13AEF">
              <w:t>North Somerset Sustainability</w:t>
            </w:r>
          </w:p>
          <w:p w:rsidR="00A13AEF" w:rsidRPr="00A13AEF" w:rsidRDefault="00A13AEF" w:rsidP="00A13AEF">
            <w:pPr>
              <w:pStyle w:val="ListParagraph"/>
              <w:numPr>
                <w:ilvl w:val="0"/>
                <w:numId w:val="1"/>
              </w:numPr>
            </w:pPr>
            <w:r w:rsidRPr="00A13AEF">
              <w:t>Devon Acute Services</w:t>
            </w:r>
          </w:p>
          <w:p w:rsidR="00A13AEF" w:rsidRPr="00A13AEF" w:rsidRDefault="00A13AEF" w:rsidP="00A13AEF">
            <w:pPr>
              <w:pStyle w:val="ListParagraph"/>
              <w:numPr>
                <w:ilvl w:val="0"/>
                <w:numId w:val="1"/>
              </w:numPr>
            </w:pPr>
            <w:r w:rsidRPr="00A13AEF">
              <w:t>Gloucestershire Acute Services</w:t>
            </w:r>
          </w:p>
          <w:p w:rsidR="00A13AEF" w:rsidRDefault="00A13AEF" w:rsidP="00A13AEF">
            <w:r w:rsidRPr="00A13AEF">
              <w:t>It is likely that</w:t>
            </w:r>
            <w:r>
              <w:t xml:space="preserve"> </w:t>
            </w:r>
            <w:r w:rsidR="00152FF7">
              <w:t xml:space="preserve">the </w:t>
            </w:r>
            <w:r>
              <w:t xml:space="preserve">Senate will also review: Cornwall STP; Somerset Outcome Based Commissioning; and </w:t>
            </w:r>
            <w:r w:rsidR="00C9656C">
              <w:t>Bristol, North Somerset and South Gloucestershire (BNNSG)</w:t>
            </w:r>
            <w:r>
              <w:t xml:space="preserve"> Stroke services.</w:t>
            </w:r>
          </w:p>
          <w:p w:rsidR="00152FF7" w:rsidRDefault="00152FF7" w:rsidP="002F5C83">
            <w:r>
              <w:t>Input form the CA will be required for each review that the Senate undertakes and CA members will be invited to join review panels according to areas of expertise and knowledge as well as geographic</w:t>
            </w:r>
            <w:r w:rsidR="002F5C83">
              <w:t xml:space="preserve"> location. Panel members are usually chosen from out of area to ensure there are no conflicts of interest.</w:t>
            </w:r>
          </w:p>
          <w:p w:rsidR="00F11953" w:rsidRDefault="00F11953" w:rsidP="00F11953">
            <w:proofErr w:type="spellStart"/>
            <w:r>
              <w:t>PYates</w:t>
            </w:r>
            <w:proofErr w:type="spellEnd"/>
            <w:r>
              <w:t xml:space="preserve"> confirmed that CA involvement to clinical reviews was essential in order to provide a well-rounded review and that asking ‘</w:t>
            </w:r>
            <w:r w:rsidR="000536BD">
              <w:t>non</w:t>
            </w:r>
            <w:r>
              <w:t xml:space="preserve"> expert’ questions could be very revealing in picking up the finer details of the proposals and in ensuring the CCG develop</w:t>
            </w:r>
            <w:r w:rsidR="000536BD">
              <w:t>s</w:t>
            </w:r>
            <w:r>
              <w:t xml:space="preserve"> clear options and proposals.    It was noted that the contribution from the CA to the clinical reviews is particularly important as the outputs form part of</w:t>
            </w:r>
            <w:r w:rsidR="000536BD">
              <w:t xml:space="preserve"> the NHS</w:t>
            </w:r>
            <w:r>
              <w:t xml:space="preserve"> England wider assurance process</w:t>
            </w:r>
            <w:r w:rsidR="005A01AE">
              <w:t>.</w:t>
            </w:r>
          </w:p>
          <w:p w:rsidR="005A01AE" w:rsidRPr="005A01AE" w:rsidRDefault="005A01AE" w:rsidP="00F11953">
            <w:r>
              <w:t>The Senate team aim to ensure that CA members who are part of clinical review panels are given the review documentation in plenty of time in order that they can prepare for the panel session.</w:t>
            </w:r>
          </w:p>
        </w:tc>
        <w:tc>
          <w:tcPr>
            <w:tcW w:w="1205" w:type="dxa"/>
            <w:gridSpan w:val="2"/>
          </w:tcPr>
          <w:p w:rsidR="00A13AEF" w:rsidRPr="00E572BB" w:rsidRDefault="00A13AEF" w:rsidP="00D01216">
            <w:pPr>
              <w:ind w:left="91"/>
              <w:jc w:val="center"/>
              <w:rPr>
                <w:rFonts w:cs="Arial"/>
                <w:b/>
                <w:szCs w:val="22"/>
              </w:rPr>
            </w:pPr>
          </w:p>
        </w:tc>
      </w:tr>
      <w:tr w:rsidR="00BF5C34" w:rsidRPr="00E572BB" w:rsidTr="00B75724">
        <w:tc>
          <w:tcPr>
            <w:tcW w:w="610" w:type="dxa"/>
            <w:tcMar>
              <w:left w:w="28" w:type="dxa"/>
              <w:right w:w="28" w:type="dxa"/>
            </w:tcMar>
          </w:tcPr>
          <w:p w:rsidR="00BF5C34" w:rsidRDefault="00BF5C34" w:rsidP="00D01216">
            <w:pPr>
              <w:rPr>
                <w:rFonts w:cs="Arial"/>
                <w:b/>
                <w:szCs w:val="22"/>
              </w:rPr>
            </w:pPr>
            <w:r>
              <w:rPr>
                <w:rFonts w:cs="Arial"/>
                <w:b/>
                <w:szCs w:val="22"/>
              </w:rPr>
              <w:t>2.4</w:t>
            </w:r>
          </w:p>
        </w:tc>
        <w:tc>
          <w:tcPr>
            <w:tcW w:w="7438" w:type="dxa"/>
            <w:gridSpan w:val="2"/>
          </w:tcPr>
          <w:p w:rsidR="00BF5C34" w:rsidRPr="00BF5C34" w:rsidRDefault="00BF5C34" w:rsidP="00D01216">
            <w:pPr>
              <w:rPr>
                <w:rFonts w:cs="Arial"/>
                <w:b/>
                <w:szCs w:val="22"/>
              </w:rPr>
            </w:pPr>
            <w:r w:rsidRPr="00BF5C34">
              <w:rPr>
                <w:rFonts w:cs="Arial"/>
                <w:b/>
                <w:szCs w:val="22"/>
              </w:rPr>
              <w:t>Senate Assembly</w:t>
            </w:r>
          </w:p>
        </w:tc>
        <w:tc>
          <w:tcPr>
            <w:tcW w:w="1205" w:type="dxa"/>
            <w:gridSpan w:val="2"/>
          </w:tcPr>
          <w:p w:rsidR="00BF5C34" w:rsidRPr="00E572BB" w:rsidRDefault="00BF5C34" w:rsidP="00D01216">
            <w:pPr>
              <w:ind w:left="91"/>
              <w:jc w:val="center"/>
              <w:rPr>
                <w:rFonts w:cs="Arial"/>
                <w:b/>
                <w:szCs w:val="22"/>
              </w:rPr>
            </w:pPr>
          </w:p>
        </w:tc>
      </w:tr>
      <w:tr w:rsidR="00BF5C34" w:rsidRPr="00E572BB" w:rsidTr="00B75724">
        <w:tc>
          <w:tcPr>
            <w:tcW w:w="610" w:type="dxa"/>
            <w:tcMar>
              <w:left w:w="28" w:type="dxa"/>
              <w:right w:w="28" w:type="dxa"/>
            </w:tcMar>
          </w:tcPr>
          <w:p w:rsidR="00BF5C34" w:rsidRDefault="00BF5C34" w:rsidP="00D01216">
            <w:pPr>
              <w:rPr>
                <w:rFonts w:cs="Arial"/>
                <w:b/>
                <w:szCs w:val="22"/>
              </w:rPr>
            </w:pPr>
          </w:p>
        </w:tc>
        <w:tc>
          <w:tcPr>
            <w:tcW w:w="7438" w:type="dxa"/>
            <w:gridSpan w:val="2"/>
          </w:tcPr>
          <w:p w:rsidR="00BF5C34" w:rsidRDefault="00BF5C34" w:rsidP="00D87483">
            <w:pPr>
              <w:rPr>
                <w:rFonts w:cs="Arial"/>
                <w:szCs w:val="22"/>
              </w:rPr>
            </w:pPr>
            <w:r w:rsidRPr="00BF5C34">
              <w:rPr>
                <w:rFonts w:cs="Arial"/>
                <w:szCs w:val="22"/>
              </w:rPr>
              <w:t>The Senate Assembly annual conference was held on 30</w:t>
            </w:r>
            <w:r w:rsidRPr="00BF5C34">
              <w:rPr>
                <w:rFonts w:cs="Arial"/>
                <w:szCs w:val="22"/>
                <w:vertAlign w:val="superscript"/>
              </w:rPr>
              <w:t>th</w:t>
            </w:r>
            <w:r w:rsidRPr="00BF5C34">
              <w:rPr>
                <w:rFonts w:cs="Arial"/>
                <w:szCs w:val="22"/>
              </w:rPr>
              <w:t xml:space="preserve"> March as a Clinical Review Masterclass.  The day involved presentations and worksho</w:t>
            </w:r>
            <w:r w:rsidR="00D87483">
              <w:rPr>
                <w:rFonts w:cs="Arial"/>
                <w:szCs w:val="22"/>
              </w:rPr>
              <w:t>ps and delegates gained a lot of</w:t>
            </w:r>
            <w:r w:rsidRPr="00BF5C34">
              <w:rPr>
                <w:rFonts w:cs="Arial"/>
                <w:szCs w:val="22"/>
              </w:rPr>
              <w:t xml:space="preserve"> information and insight in to the review process.  The slides and outputs from the day are available from the Senate website here: </w:t>
            </w:r>
            <w:hyperlink r:id="rId9" w:history="1">
              <w:r w:rsidRPr="00BF5C34">
                <w:rPr>
                  <w:rStyle w:val="Hyperlink"/>
                  <w:rFonts w:cs="Arial"/>
                  <w:szCs w:val="22"/>
                </w:rPr>
                <w:t>http://www.swsenate.org.uk/senate-assembly/meeting-archive/</w:t>
              </w:r>
            </w:hyperlink>
            <w:r w:rsidRPr="00BF5C34">
              <w:rPr>
                <w:rFonts w:cs="Arial"/>
                <w:szCs w:val="22"/>
              </w:rPr>
              <w:t xml:space="preserve"> </w:t>
            </w:r>
            <w:r w:rsidR="00D87483">
              <w:rPr>
                <w:rFonts w:cs="Arial"/>
                <w:szCs w:val="22"/>
              </w:rPr>
              <w:t>.  CA members reported the public consultation workshop was not very interactive and there was little chance to discuss and highlight examples and experience and was generally below the level of knowledge in the room.</w:t>
            </w:r>
          </w:p>
          <w:p w:rsidR="00F11953" w:rsidRPr="00BF5C34" w:rsidRDefault="00D87483" w:rsidP="005A01AE">
            <w:pPr>
              <w:rPr>
                <w:rFonts w:cs="Arial"/>
                <w:szCs w:val="22"/>
              </w:rPr>
            </w:pPr>
            <w:r>
              <w:rPr>
                <w:rFonts w:cs="Arial"/>
                <w:szCs w:val="22"/>
              </w:rPr>
              <w:t>The CA members present today agreed that until they had been involved in a clinical review panel it was difficult to know if they required further training in relation to contributing to clinical reviews.</w:t>
            </w:r>
            <w:r w:rsidR="00F11953">
              <w:rPr>
                <w:rFonts w:cs="Arial"/>
                <w:szCs w:val="22"/>
              </w:rPr>
              <w:t xml:space="preserve"> </w:t>
            </w:r>
          </w:p>
        </w:tc>
        <w:tc>
          <w:tcPr>
            <w:tcW w:w="1205" w:type="dxa"/>
            <w:gridSpan w:val="2"/>
          </w:tcPr>
          <w:p w:rsidR="00BF5C34" w:rsidRPr="00E572BB" w:rsidRDefault="00BF5C34" w:rsidP="00D01216">
            <w:pPr>
              <w:ind w:left="91"/>
              <w:jc w:val="center"/>
              <w:rPr>
                <w:rFonts w:cs="Arial"/>
                <w:b/>
                <w:szCs w:val="22"/>
              </w:rPr>
            </w:pPr>
          </w:p>
        </w:tc>
      </w:tr>
      <w:tr w:rsidR="008E42DB" w:rsidRPr="00E572BB" w:rsidTr="00B75724">
        <w:tc>
          <w:tcPr>
            <w:tcW w:w="627" w:type="dxa"/>
            <w:gridSpan w:val="2"/>
            <w:tcMar>
              <w:left w:w="28" w:type="dxa"/>
              <w:right w:w="28" w:type="dxa"/>
            </w:tcMar>
          </w:tcPr>
          <w:p w:rsidR="008E42DB" w:rsidRPr="00E572BB" w:rsidRDefault="005A01AE" w:rsidP="00D01216">
            <w:pPr>
              <w:jc w:val="both"/>
              <w:rPr>
                <w:rFonts w:cs="Arial"/>
                <w:b/>
                <w:szCs w:val="22"/>
              </w:rPr>
            </w:pPr>
            <w:r>
              <w:rPr>
                <w:rFonts w:cs="Arial"/>
                <w:b/>
                <w:szCs w:val="22"/>
              </w:rPr>
              <w:t>2.5</w:t>
            </w:r>
          </w:p>
        </w:tc>
        <w:tc>
          <w:tcPr>
            <w:tcW w:w="7440" w:type="dxa"/>
            <w:gridSpan w:val="2"/>
          </w:tcPr>
          <w:p w:rsidR="008E42DB" w:rsidRPr="00E572BB" w:rsidRDefault="005A01AE" w:rsidP="00D01216">
            <w:pPr>
              <w:rPr>
                <w:rFonts w:cs="Arial"/>
                <w:b/>
                <w:szCs w:val="22"/>
              </w:rPr>
            </w:pPr>
            <w:r>
              <w:rPr>
                <w:rFonts w:cs="Arial"/>
                <w:b/>
                <w:szCs w:val="22"/>
              </w:rPr>
              <w:t>Senate Council Meeting – 18</w:t>
            </w:r>
            <w:r w:rsidRPr="005A01AE">
              <w:rPr>
                <w:rFonts w:cs="Arial"/>
                <w:b/>
                <w:szCs w:val="22"/>
                <w:vertAlign w:val="superscript"/>
              </w:rPr>
              <w:t>th</w:t>
            </w:r>
            <w:r>
              <w:rPr>
                <w:rFonts w:cs="Arial"/>
                <w:b/>
                <w:szCs w:val="22"/>
              </w:rPr>
              <w:t xml:space="preserve"> May 2017</w:t>
            </w:r>
          </w:p>
        </w:tc>
        <w:tc>
          <w:tcPr>
            <w:tcW w:w="1186" w:type="dxa"/>
          </w:tcPr>
          <w:p w:rsidR="008E42DB" w:rsidRPr="00E572BB" w:rsidRDefault="008E42DB" w:rsidP="00D01216">
            <w:pPr>
              <w:ind w:left="720"/>
              <w:rPr>
                <w:rFonts w:cs="Arial"/>
                <w:b/>
                <w:szCs w:val="22"/>
              </w:rPr>
            </w:pPr>
          </w:p>
        </w:tc>
      </w:tr>
      <w:tr w:rsidR="008E42DB" w:rsidRPr="00E572BB" w:rsidTr="00B75724">
        <w:trPr>
          <w:trHeight w:val="581"/>
        </w:trPr>
        <w:tc>
          <w:tcPr>
            <w:tcW w:w="627" w:type="dxa"/>
            <w:gridSpan w:val="2"/>
            <w:tcMar>
              <w:left w:w="28" w:type="dxa"/>
              <w:right w:w="28" w:type="dxa"/>
            </w:tcMar>
          </w:tcPr>
          <w:p w:rsidR="008E42DB" w:rsidRPr="00E572BB" w:rsidRDefault="008E42DB" w:rsidP="00D01216">
            <w:pPr>
              <w:jc w:val="both"/>
              <w:rPr>
                <w:rFonts w:cs="Arial"/>
                <w:szCs w:val="22"/>
              </w:rPr>
            </w:pPr>
          </w:p>
        </w:tc>
        <w:tc>
          <w:tcPr>
            <w:tcW w:w="7440" w:type="dxa"/>
            <w:gridSpan w:val="2"/>
          </w:tcPr>
          <w:p w:rsidR="008E42DB" w:rsidRDefault="005A01AE" w:rsidP="00D01216">
            <w:pPr>
              <w:rPr>
                <w:rFonts w:cs="Arial"/>
                <w:szCs w:val="22"/>
              </w:rPr>
            </w:pPr>
            <w:r>
              <w:rPr>
                <w:rFonts w:cs="Arial"/>
                <w:szCs w:val="22"/>
              </w:rPr>
              <w:t>The next Se</w:t>
            </w:r>
            <w:r w:rsidR="00D43058">
              <w:rPr>
                <w:rFonts w:cs="Arial"/>
                <w:szCs w:val="22"/>
              </w:rPr>
              <w:t>n</w:t>
            </w:r>
            <w:r>
              <w:rPr>
                <w:rFonts w:cs="Arial"/>
                <w:szCs w:val="22"/>
              </w:rPr>
              <w:t xml:space="preserve">ate Council meeting will be </w:t>
            </w:r>
            <w:r w:rsidR="00D43058">
              <w:rPr>
                <w:rFonts w:cs="Arial"/>
                <w:szCs w:val="22"/>
              </w:rPr>
              <w:t>1</w:t>
            </w:r>
            <w:r>
              <w:rPr>
                <w:rFonts w:cs="Arial"/>
                <w:szCs w:val="22"/>
              </w:rPr>
              <w:t>8</w:t>
            </w:r>
            <w:r w:rsidRPr="005A01AE">
              <w:rPr>
                <w:rFonts w:cs="Arial"/>
                <w:szCs w:val="22"/>
                <w:vertAlign w:val="superscript"/>
              </w:rPr>
              <w:t>th</w:t>
            </w:r>
            <w:r>
              <w:rPr>
                <w:rFonts w:cs="Arial"/>
                <w:szCs w:val="22"/>
              </w:rPr>
              <w:t xml:space="preserve"> May.  There is currently no topic agreed for this meeting although there is a possibility</w:t>
            </w:r>
            <w:r w:rsidR="00D43058">
              <w:rPr>
                <w:rFonts w:cs="Arial"/>
                <w:szCs w:val="22"/>
              </w:rPr>
              <w:t xml:space="preserve"> this meeting will be used to look at Public Health England (PHE) logic modelling.</w:t>
            </w:r>
            <w:r w:rsidR="001A4866">
              <w:rPr>
                <w:rFonts w:cs="Arial"/>
                <w:szCs w:val="22"/>
              </w:rPr>
              <w:t xml:space="preserve">  As </w:t>
            </w:r>
            <w:r w:rsidR="001A4866">
              <w:rPr>
                <w:rFonts w:cs="Arial"/>
                <w:szCs w:val="22"/>
              </w:rPr>
              <w:lastRenderedPageBreak/>
              <w:t>usual, a CA member will attend the 18</w:t>
            </w:r>
            <w:r w:rsidR="001A4866" w:rsidRPr="001A4866">
              <w:rPr>
                <w:rFonts w:cs="Arial"/>
                <w:szCs w:val="22"/>
                <w:vertAlign w:val="superscript"/>
              </w:rPr>
              <w:t>th</w:t>
            </w:r>
            <w:r w:rsidR="001A4866">
              <w:rPr>
                <w:rFonts w:cs="Arial"/>
                <w:szCs w:val="22"/>
              </w:rPr>
              <w:t xml:space="preserve"> May Senate Council with </w:t>
            </w:r>
            <w:proofErr w:type="spellStart"/>
            <w:r w:rsidR="001A4866">
              <w:rPr>
                <w:rFonts w:cs="Arial"/>
                <w:szCs w:val="22"/>
              </w:rPr>
              <w:t>KDixon</w:t>
            </w:r>
            <w:proofErr w:type="spellEnd"/>
            <w:r w:rsidR="001A4866">
              <w:rPr>
                <w:rFonts w:cs="Arial"/>
                <w:szCs w:val="22"/>
              </w:rPr>
              <w:t xml:space="preserve"> and if any CA input is required to be fed in to this meeting, the Senate team will contact the CA via email.</w:t>
            </w:r>
          </w:p>
          <w:p w:rsidR="00D43058" w:rsidRDefault="00D43058" w:rsidP="00D43058">
            <w:pPr>
              <w:rPr>
                <w:rFonts w:cs="Arial"/>
                <w:szCs w:val="22"/>
              </w:rPr>
            </w:pPr>
            <w:r>
              <w:rPr>
                <w:rFonts w:cs="Arial"/>
                <w:szCs w:val="22"/>
              </w:rPr>
              <w:t>The Senate team discussed that in general, the topic for the Senate Council meetings is not confirmed in time for the CA to prepare and discuss the topic at the CA meetings which are</w:t>
            </w:r>
            <w:r w:rsidR="000536BD">
              <w:rPr>
                <w:rFonts w:cs="Arial"/>
                <w:szCs w:val="22"/>
              </w:rPr>
              <w:t xml:space="preserve"> scheduled for around one</w:t>
            </w:r>
            <w:r>
              <w:rPr>
                <w:rFonts w:cs="Arial"/>
                <w:szCs w:val="22"/>
              </w:rPr>
              <w:t xml:space="preserve"> month prior to each council meeting.</w:t>
            </w:r>
          </w:p>
          <w:p w:rsidR="00D43058" w:rsidRPr="00E572BB" w:rsidRDefault="00D43058" w:rsidP="00D43058">
            <w:pPr>
              <w:rPr>
                <w:rFonts w:cs="Arial"/>
                <w:szCs w:val="22"/>
              </w:rPr>
            </w:pPr>
            <w:r>
              <w:rPr>
                <w:rFonts w:cs="Arial"/>
                <w:szCs w:val="22"/>
              </w:rPr>
              <w:t>There was further discussion around the fact that the majority of the Senate’s work is providing clinical reviews and that therefore the use of the Senate Council meeting dates to debate topics is likely to reduce.</w:t>
            </w:r>
          </w:p>
        </w:tc>
        <w:tc>
          <w:tcPr>
            <w:tcW w:w="1186" w:type="dxa"/>
          </w:tcPr>
          <w:p w:rsidR="008E42DB" w:rsidRPr="00E572BB" w:rsidRDefault="008E42DB" w:rsidP="00D01216">
            <w:pPr>
              <w:jc w:val="center"/>
              <w:rPr>
                <w:rFonts w:cs="Arial"/>
                <w:b/>
                <w:szCs w:val="22"/>
              </w:rPr>
            </w:pPr>
          </w:p>
        </w:tc>
      </w:tr>
      <w:tr w:rsidR="008E42DB" w:rsidRPr="00E572BB" w:rsidTr="00B75724">
        <w:tc>
          <w:tcPr>
            <w:tcW w:w="627" w:type="dxa"/>
            <w:gridSpan w:val="2"/>
          </w:tcPr>
          <w:p w:rsidR="008E42DB" w:rsidRPr="00E572BB" w:rsidRDefault="001A4866" w:rsidP="00D01216">
            <w:pPr>
              <w:rPr>
                <w:rFonts w:cs="Arial"/>
                <w:b/>
                <w:szCs w:val="22"/>
              </w:rPr>
            </w:pPr>
            <w:r>
              <w:rPr>
                <w:rFonts w:cs="Arial"/>
                <w:b/>
                <w:szCs w:val="22"/>
              </w:rPr>
              <w:lastRenderedPageBreak/>
              <w:t>2.6</w:t>
            </w:r>
          </w:p>
        </w:tc>
        <w:tc>
          <w:tcPr>
            <w:tcW w:w="7440" w:type="dxa"/>
            <w:gridSpan w:val="2"/>
          </w:tcPr>
          <w:p w:rsidR="008E42DB" w:rsidRPr="00E572BB" w:rsidRDefault="001A4866" w:rsidP="00D01216">
            <w:pPr>
              <w:rPr>
                <w:rFonts w:cs="Arial"/>
                <w:b/>
                <w:szCs w:val="22"/>
              </w:rPr>
            </w:pPr>
            <w:r>
              <w:rPr>
                <w:rFonts w:cs="Arial"/>
                <w:b/>
                <w:szCs w:val="22"/>
              </w:rPr>
              <w:t>CA Membership</w:t>
            </w:r>
          </w:p>
        </w:tc>
        <w:tc>
          <w:tcPr>
            <w:tcW w:w="1186" w:type="dxa"/>
          </w:tcPr>
          <w:p w:rsidR="008E42DB" w:rsidRPr="00E572BB" w:rsidRDefault="008E42DB" w:rsidP="00D01216">
            <w:pPr>
              <w:rPr>
                <w:rFonts w:cs="Arial"/>
                <w:b/>
                <w:szCs w:val="22"/>
              </w:rPr>
            </w:pPr>
          </w:p>
        </w:tc>
      </w:tr>
      <w:tr w:rsidR="008E42DB" w:rsidRPr="00E572BB" w:rsidTr="00B75724">
        <w:tc>
          <w:tcPr>
            <w:tcW w:w="627" w:type="dxa"/>
            <w:gridSpan w:val="2"/>
          </w:tcPr>
          <w:p w:rsidR="008E42DB" w:rsidRPr="00E572BB" w:rsidRDefault="008E42DB" w:rsidP="00D01216">
            <w:pPr>
              <w:pStyle w:val="ListParagraph"/>
              <w:ind w:left="0"/>
              <w:jc w:val="both"/>
            </w:pPr>
          </w:p>
        </w:tc>
        <w:tc>
          <w:tcPr>
            <w:tcW w:w="7440" w:type="dxa"/>
            <w:gridSpan w:val="2"/>
          </w:tcPr>
          <w:p w:rsidR="008E42DB" w:rsidRDefault="001A4866" w:rsidP="00D01216">
            <w:pPr>
              <w:pStyle w:val="ListParagraph"/>
              <w:ind w:left="0"/>
            </w:pPr>
            <w:r>
              <w:t>In order for the CA to maximise its ability to provide a broad perspective and input to the Senate’s work, it is important that the CA membership is maintained and that each geographical region is represented and given the chance to contribute.</w:t>
            </w:r>
          </w:p>
          <w:p w:rsidR="001A4866" w:rsidRDefault="001A4866" w:rsidP="00D01216">
            <w:pPr>
              <w:pStyle w:val="ListParagraph"/>
              <w:ind w:left="0"/>
            </w:pPr>
            <w:r>
              <w:t>At the last CA meeting, it was highlighted that it appears more difficult to recruit new members to the CA from the Healthwatch organisations which are managed by the Care Forum</w:t>
            </w:r>
            <w:r w:rsidR="00566875">
              <w:t xml:space="preserve">, which are Bristol, </w:t>
            </w:r>
            <w:proofErr w:type="spellStart"/>
            <w:r w:rsidR="00566875">
              <w:t>BaNES</w:t>
            </w:r>
            <w:proofErr w:type="spellEnd"/>
            <w:r w:rsidR="00566875">
              <w:t xml:space="preserve">, South Gloucestershire, Swindon and Somerset.  In light of this, Morgan Daly the CEO of the Care Forum was invited to </w:t>
            </w:r>
            <w:r w:rsidR="00DA7DB3">
              <w:t xml:space="preserve">attend the CA or send a representative to </w:t>
            </w:r>
            <w:r w:rsidR="00566875">
              <w:t>this meeting to discuss how the Care Forum operates and what we can do to help ensure we have enough representatives from these regions.  Jacqueline Briggs the new Project Coordinator for Healthwatch Somerset and Pat Foster the Volunteer Coordinator for the Care Forum attended the meeting to discuss this.</w:t>
            </w:r>
          </w:p>
          <w:p w:rsidR="00566875" w:rsidRDefault="00566875" w:rsidP="00566875">
            <w:pPr>
              <w:pStyle w:val="ListParagraph"/>
              <w:ind w:left="0"/>
            </w:pPr>
            <w:proofErr w:type="spellStart"/>
            <w:r>
              <w:t>PFoster</w:t>
            </w:r>
            <w:proofErr w:type="spellEnd"/>
            <w:r>
              <w:t xml:space="preserve"> gave an update confirming that the Care Forum </w:t>
            </w:r>
            <w:proofErr w:type="gramStart"/>
            <w:r>
              <w:t>are</w:t>
            </w:r>
            <w:proofErr w:type="gramEnd"/>
            <w:r>
              <w:t xml:space="preserve"> contracted for the following: Healthwatch Bristol and Healthwatch </w:t>
            </w:r>
            <w:proofErr w:type="spellStart"/>
            <w:r>
              <w:t>BaNEs</w:t>
            </w:r>
            <w:proofErr w:type="spellEnd"/>
            <w:r>
              <w:t xml:space="preserve"> for 1 more year</w:t>
            </w:r>
            <w:r w:rsidR="00CE4096">
              <w:t xml:space="preserve">, Healthwatch South Gloucestershire and </w:t>
            </w:r>
            <w:proofErr w:type="spellStart"/>
            <w:r w:rsidR="00CE4096">
              <w:t>Heathwatch</w:t>
            </w:r>
            <w:proofErr w:type="spellEnd"/>
            <w:r w:rsidR="00CE4096">
              <w:t xml:space="preserve"> Swindon for 2 more years</w:t>
            </w:r>
            <w:r w:rsidR="002D105F">
              <w:t>;</w:t>
            </w:r>
            <w:r w:rsidR="00CE4096">
              <w:t xml:space="preserve"> and they have just put in their tender for a further contract for Healthwatch Somerset.  The Care Forum is a charity and has an infrastructure based around supporting health and social care.  Part of their remit is to recruit and train volunteers who they also encourage when appropriate to be involved with the CA.  </w:t>
            </w:r>
            <w:proofErr w:type="spellStart"/>
            <w:r w:rsidR="00CE4096">
              <w:t>PFoster</w:t>
            </w:r>
            <w:proofErr w:type="spellEnd"/>
            <w:r w:rsidR="00CE4096">
              <w:t xml:space="preserve"> confirmed that the distance required for CA members to travel to attend meetings is o</w:t>
            </w:r>
            <w:r w:rsidR="002D105F">
              <w:t xml:space="preserve">ften </w:t>
            </w:r>
            <w:r w:rsidR="00CE4096">
              <w:t>off-putting to prospective members – in particular those from Swindon.</w:t>
            </w:r>
          </w:p>
          <w:p w:rsidR="00CE4096" w:rsidRDefault="00CE4096" w:rsidP="00566875">
            <w:pPr>
              <w:pStyle w:val="ListParagraph"/>
              <w:ind w:left="0"/>
            </w:pPr>
            <w:r>
              <w:t>The Care Forum is running</w:t>
            </w:r>
            <w:r w:rsidR="002D105F">
              <w:t xml:space="preserve"> a</w:t>
            </w:r>
            <w:r>
              <w:t xml:space="preserve"> ‘volunteers week’ in May and </w:t>
            </w:r>
            <w:proofErr w:type="spellStart"/>
            <w:r>
              <w:t>KDixon</w:t>
            </w:r>
            <w:proofErr w:type="spellEnd"/>
            <w:r>
              <w:t xml:space="preserve"> </w:t>
            </w:r>
            <w:r w:rsidR="002D105F">
              <w:t>has agreed to</w:t>
            </w:r>
            <w:r>
              <w:t xml:space="preserve"> attend this to promote th</w:t>
            </w:r>
            <w:r w:rsidR="002D105F">
              <w:t>e CA and to talk to volunteers about the opportunity to become a</w:t>
            </w:r>
            <w:r>
              <w:t xml:space="preserve"> CA member.</w:t>
            </w:r>
          </w:p>
          <w:p w:rsidR="00CE4096" w:rsidRDefault="00CE4096" w:rsidP="00566875">
            <w:pPr>
              <w:pStyle w:val="ListParagraph"/>
              <w:ind w:left="0"/>
            </w:pPr>
            <w:r>
              <w:t>It was also confir</w:t>
            </w:r>
            <w:r w:rsidR="002D105F">
              <w:t>med that any prospective</w:t>
            </w:r>
            <w:r>
              <w:t xml:space="preserve"> CA members are welcome to attend a CA meeting to get a feel for the type of contribution and involvement required as well as the chance to discuss membership with </w:t>
            </w:r>
            <w:proofErr w:type="spellStart"/>
            <w:r>
              <w:t>KDixon</w:t>
            </w:r>
            <w:proofErr w:type="spellEnd"/>
            <w:r>
              <w:t xml:space="preserve"> or </w:t>
            </w:r>
            <w:proofErr w:type="spellStart"/>
            <w:r>
              <w:t>SRedka</w:t>
            </w:r>
            <w:proofErr w:type="spellEnd"/>
            <w:r>
              <w:t xml:space="preserve"> prior to joining.</w:t>
            </w:r>
          </w:p>
          <w:p w:rsidR="00CE4096" w:rsidRDefault="00CE4096" w:rsidP="00566875">
            <w:pPr>
              <w:pStyle w:val="ListParagraph"/>
              <w:ind w:left="0"/>
            </w:pPr>
            <w:r>
              <w:t xml:space="preserve">Finally, </w:t>
            </w:r>
            <w:proofErr w:type="spellStart"/>
            <w:r>
              <w:t>PFoster</w:t>
            </w:r>
            <w:proofErr w:type="spellEnd"/>
            <w:r>
              <w:t xml:space="preserve"> was invited to attend the CA meetings regularly to maintain continuity with the Care Forum Healthwatch regions.</w:t>
            </w:r>
          </w:p>
          <w:p w:rsidR="002B1988" w:rsidRPr="00E572BB" w:rsidRDefault="002B1988" w:rsidP="00566875">
            <w:pPr>
              <w:pStyle w:val="ListParagraph"/>
              <w:ind w:left="0"/>
            </w:pPr>
            <w:r>
              <w:t>Thanks to the Care Forum for their input to this discussion.</w:t>
            </w:r>
          </w:p>
        </w:tc>
        <w:tc>
          <w:tcPr>
            <w:tcW w:w="1186" w:type="dxa"/>
          </w:tcPr>
          <w:p w:rsidR="002B1988" w:rsidRDefault="002B1988" w:rsidP="00D01216">
            <w:pPr>
              <w:rPr>
                <w:rFonts w:cs="Arial"/>
                <w:szCs w:val="22"/>
              </w:rPr>
            </w:pPr>
          </w:p>
          <w:p w:rsidR="002B1988" w:rsidRDefault="002B1988" w:rsidP="00D01216">
            <w:pPr>
              <w:rPr>
                <w:rFonts w:cs="Arial"/>
                <w:szCs w:val="22"/>
              </w:rPr>
            </w:pPr>
          </w:p>
          <w:p w:rsidR="002B1988" w:rsidRDefault="002B1988" w:rsidP="00D01216">
            <w:pPr>
              <w:rPr>
                <w:rFonts w:cs="Arial"/>
                <w:szCs w:val="22"/>
              </w:rPr>
            </w:pPr>
          </w:p>
          <w:p w:rsidR="002B1988" w:rsidRDefault="002B1988" w:rsidP="00D01216">
            <w:pPr>
              <w:rPr>
                <w:rFonts w:cs="Arial"/>
                <w:szCs w:val="22"/>
              </w:rPr>
            </w:pPr>
          </w:p>
          <w:p w:rsidR="002B1988" w:rsidRDefault="002B1988" w:rsidP="00D01216">
            <w:pPr>
              <w:rPr>
                <w:rFonts w:cs="Arial"/>
                <w:szCs w:val="22"/>
              </w:rPr>
            </w:pPr>
          </w:p>
          <w:p w:rsidR="002B1988" w:rsidRDefault="002B1988" w:rsidP="00D01216">
            <w:pPr>
              <w:rPr>
                <w:rFonts w:cs="Arial"/>
                <w:szCs w:val="22"/>
              </w:rPr>
            </w:pPr>
          </w:p>
          <w:p w:rsidR="002B1988" w:rsidRDefault="002B1988" w:rsidP="00D01216">
            <w:pPr>
              <w:rPr>
                <w:rFonts w:cs="Arial"/>
                <w:szCs w:val="22"/>
              </w:rPr>
            </w:pPr>
          </w:p>
          <w:p w:rsidR="002B1988" w:rsidRDefault="002B1988" w:rsidP="00D01216">
            <w:pPr>
              <w:rPr>
                <w:rFonts w:cs="Arial"/>
                <w:szCs w:val="22"/>
              </w:rPr>
            </w:pPr>
          </w:p>
          <w:p w:rsidR="002B1988" w:rsidRDefault="002B1988" w:rsidP="00D01216">
            <w:pPr>
              <w:rPr>
                <w:rFonts w:cs="Arial"/>
                <w:szCs w:val="22"/>
              </w:rPr>
            </w:pPr>
          </w:p>
          <w:p w:rsidR="002B1988" w:rsidRDefault="002B1988" w:rsidP="00D01216">
            <w:pPr>
              <w:rPr>
                <w:rFonts w:cs="Arial"/>
                <w:szCs w:val="22"/>
              </w:rPr>
            </w:pPr>
          </w:p>
          <w:p w:rsidR="002B1988" w:rsidRDefault="002B1988" w:rsidP="00D01216">
            <w:pPr>
              <w:rPr>
                <w:rFonts w:cs="Arial"/>
                <w:szCs w:val="22"/>
              </w:rPr>
            </w:pPr>
          </w:p>
          <w:p w:rsidR="002B1988" w:rsidRDefault="002B1988" w:rsidP="00D01216">
            <w:pPr>
              <w:rPr>
                <w:rFonts w:cs="Arial"/>
                <w:szCs w:val="22"/>
              </w:rPr>
            </w:pPr>
          </w:p>
          <w:p w:rsidR="002B1988" w:rsidRDefault="002B1988" w:rsidP="00D01216">
            <w:pPr>
              <w:rPr>
                <w:rFonts w:cs="Arial"/>
                <w:szCs w:val="22"/>
              </w:rPr>
            </w:pPr>
          </w:p>
          <w:p w:rsidR="002B1988" w:rsidRDefault="002B1988" w:rsidP="00D01216">
            <w:pPr>
              <w:rPr>
                <w:rFonts w:cs="Arial"/>
                <w:szCs w:val="22"/>
              </w:rPr>
            </w:pPr>
          </w:p>
          <w:p w:rsidR="002B1988" w:rsidRDefault="002B1988" w:rsidP="00D01216">
            <w:pPr>
              <w:rPr>
                <w:rFonts w:cs="Arial"/>
                <w:szCs w:val="22"/>
              </w:rPr>
            </w:pPr>
          </w:p>
          <w:p w:rsidR="002B1988" w:rsidRDefault="002B1988" w:rsidP="00D01216">
            <w:pPr>
              <w:rPr>
                <w:rFonts w:cs="Arial"/>
                <w:szCs w:val="22"/>
              </w:rPr>
            </w:pPr>
          </w:p>
          <w:p w:rsidR="002B1988" w:rsidRDefault="002B1988" w:rsidP="00D01216">
            <w:pPr>
              <w:rPr>
                <w:rFonts w:cs="Arial"/>
                <w:szCs w:val="22"/>
              </w:rPr>
            </w:pPr>
          </w:p>
          <w:p w:rsidR="002B1988" w:rsidRDefault="002B1988" w:rsidP="00D01216">
            <w:pPr>
              <w:rPr>
                <w:rFonts w:cs="Arial"/>
                <w:szCs w:val="22"/>
              </w:rPr>
            </w:pPr>
          </w:p>
          <w:p w:rsidR="002B1988" w:rsidRDefault="002B1988" w:rsidP="00D01216">
            <w:pPr>
              <w:rPr>
                <w:rFonts w:cs="Arial"/>
                <w:szCs w:val="22"/>
              </w:rPr>
            </w:pPr>
          </w:p>
          <w:p w:rsidR="002B1988" w:rsidRDefault="002B1988" w:rsidP="00D01216">
            <w:pPr>
              <w:rPr>
                <w:rFonts w:cs="Arial"/>
                <w:szCs w:val="22"/>
              </w:rPr>
            </w:pPr>
          </w:p>
          <w:p w:rsidR="002B1988" w:rsidRDefault="002B1988" w:rsidP="00D01216">
            <w:pPr>
              <w:rPr>
                <w:rFonts w:cs="Arial"/>
                <w:szCs w:val="22"/>
              </w:rPr>
            </w:pPr>
          </w:p>
          <w:p w:rsidR="002B1988" w:rsidRDefault="002B1988" w:rsidP="00D01216">
            <w:pPr>
              <w:rPr>
                <w:rFonts w:cs="Arial"/>
                <w:szCs w:val="22"/>
              </w:rPr>
            </w:pPr>
          </w:p>
          <w:p w:rsidR="002B1988" w:rsidRDefault="002B1988" w:rsidP="00D01216">
            <w:pPr>
              <w:rPr>
                <w:rFonts w:cs="Arial"/>
                <w:szCs w:val="22"/>
              </w:rPr>
            </w:pPr>
          </w:p>
          <w:p w:rsidR="008E42DB" w:rsidRDefault="002B1988" w:rsidP="00D01216">
            <w:pPr>
              <w:rPr>
                <w:rFonts w:cs="Arial"/>
                <w:szCs w:val="22"/>
              </w:rPr>
            </w:pPr>
            <w:r>
              <w:rPr>
                <w:rFonts w:cs="Arial"/>
                <w:szCs w:val="22"/>
              </w:rPr>
              <w:t>KD to attend volunteers week</w:t>
            </w:r>
          </w:p>
          <w:p w:rsidR="00C9656C" w:rsidRDefault="00C9656C" w:rsidP="00D01216">
            <w:pPr>
              <w:rPr>
                <w:rFonts w:cs="Arial"/>
                <w:szCs w:val="22"/>
              </w:rPr>
            </w:pPr>
          </w:p>
          <w:p w:rsidR="00C9656C" w:rsidRPr="00E572BB" w:rsidRDefault="00C9656C" w:rsidP="00D01216">
            <w:pPr>
              <w:rPr>
                <w:rFonts w:cs="Arial"/>
                <w:szCs w:val="22"/>
              </w:rPr>
            </w:pPr>
            <w:r>
              <w:rPr>
                <w:rFonts w:cs="Arial"/>
                <w:szCs w:val="22"/>
              </w:rPr>
              <w:t>SR to continue to engage HW re membership gaps</w:t>
            </w:r>
          </w:p>
        </w:tc>
      </w:tr>
      <w:tr w:rsidR="008E42DB" w:rsidRPr="00E572BB" w:rsidTr="00B75724">
        <w:tc>
          <w:tcPr>
            <w:tcW w:w="627" w:type="dxa"/>
            <w:gridSpan w:val="2"/>
          </w:tcPr>
          <w:p w:rsidR="008E42DB" w:rsidRPr="00E572BB" w:rsidRDefault="008E42DB" w:rsidP="00D01216">
            <w:pPr>
              <w:jc w:val="both"/>
              <w:rPr>
                <w:rFonts w:cs="Arial"/>
                <w:b/>
                <w:szCs w:val="22"/>
              </w:rPr>
            </w:pPr>
            <w:r w:rsidRPr="00E572BB">
              <w:rPr>
                <w:rFonts w:cs="Arial"/>
                <w:b/>
                <w:szCs w:val="22"/>
              </w:rPr>
              <w:t>3</w:t>
            </w:r>
          </w:p>
        </w:tc>
        <w:tc>
          <w:tcPr>
            <w:tcW w:w="7440" w:type="dxa"/>
            <w:gridSpan w:val="2"/>
          </w:tcPr>
          <w:p w:rsidR="008E42DB" w:rsidRPr="00E572BB" w:rsidRDefault="002B1988" w:rsidP="00D01216">
            <w:pPr>
              <w:rPr>
                <w:rFonts w:cs="Arial"/>
                <w:b/>
                <w:szCs w:val="22"/>
              </w:rPr>
            </w:pPr>
            <w:r>
              <w:rPr>
                <w:rFonts w:cs="Arial"/>
                <w:b/>
                <w:szCs w:val="22"/>
              </w:rPr>
              <w:t>Discussion Topic: How is your Healthwatch ensuring patient involvement in the STP process?</w:t>
            </w:r>
          </w:p>
        </w:tc>
        <w:tc>
          <w:tcPr>
            <w:tcW w:w="1186" w:type="dxa"/>
          </w:tcPr>
          <w:p w:rsidR="008E42DB" w:rsidRPr="00E572BB" w:rsidRDefault="008E42DB" w:rsidP="00D01216">
            <w:pPr>
              <w:ind w:left="720"/>
              <w:rPr>
                <w:rFonts w:cs="Arial"/>
                <w:szCs w:val="22"/>
              </w:rPr>
            </w:pPr>
          </w:p>
        </w:tc>
      </w:tr>
      <w:tr w:rsidR="008E42DB" w:rsidRPr="00E572BB" w:rsidTr="00B75724">
        <w:tc>
          <w:tcPr>
            <w:tcW w:w="627" w:type="dxa"/>
            <w:gridSpan w:val="2"/>
          </w:tcPr>
          <w:p w:rsidR="008E42DB" w:rsidRPr="00E572BB" w:rsidRDefault="008E42DB" w:rsidP="00D01216">
            <w:pPr>
              <w:jc w:val="both"/>
              <w:rPr>
                <w:rFonts w:cs="Arial"/>
                <w:szCs w:val="22"/>
              </w:rPr>
            </w:pPr>
          </w:p>
        </w:tc>
        <w:tc>
          <w:tcPr>
            <w:tcW w:w="7440" w:type="dxa"/>
            <w:gridSpan w:val="2"/>
          </w:tcPr>
          <w:p w:rsidR="008E42DB" w:rsidRDefault="00A02FEE" w:rsidP="00D01216">
            <w:pPr>
              <w:rPr>
                <w:rFonts w:cs="Arial"/>
                <w:szCs w:val="22"/>
              </w:rPr>
            </w:pPr>
            <w:r>
              <w:rPr>
                <w:rFonts w:cs="Arial"/>
                <w:szCs w:val="22"/>
              </w:rPr>
              <w:t>Each regional representative gave an update about their Healthwatch.</w:t>
            </w:r>
          </w:p>
          <w:p w:rsidR="00A02FEE" w:rsidRDefault="00A02FEE" w:rsidP="00A02FEE">
            <w:pPr>
              <w:pStyle w:val="ListParagraph"/>
              <w:numPr>
                <w:ilvl w:val="0"/>
                <w:numId w:val="1"/>
              </w:numPr>
            </w:pPr>
            <w:r>
              <w:t xml:space="preserve">Devon – in general appears to be ahead nationally with their </w:t>
            </w:r>
            <w:r>
              <w:lastRenderedPageBreak/>
              <w:t>public engagement.  In particular South Devon and Torbay CCG partnership working with Healthwatch Torbay fo</w:t>
            </w:r>
            <w:r w:rsidR="002D105F">
              <w:t>r a series of public engagement events</w:t>
            </w:r>
            <w:r>
              <w:t xml:space="preserve"> has been held as an example of good practice.  </w:t>
            </w:r>
          </w:p>
          <w:p w:rsidR="00A02FEE" w:rsidRDefault="00A02FEE" w:rsidP="00A02FEE">
            <w:pPr>
              <w:pStyle w:val="ListParagraph"/>
              <w:numPr>
                <w:ilvl w:val="0"/>
                <w:numId w:val="1"/>
              </w:numPr>
            </w:pPr>
            <w:r>
              <w:t>Healthwatch Devon – held engagement events as lectures. Would have been better as facilitated round table discussions.</w:t>
            </w:r>
          </w:p>
          <w:p w:rsidR="00A02FEE" w:rsidRDefault="00A02FEE" w:rsidP="00A02FEE">
            <w:pPr>
              <w:pStyle w:val="ListParagraph"/>
              <w:numPr>
                <w:ilvl w:val="0"/>
                <w:numId w:val="1"/>
              </w:numPr>
            </w:pPr>
            <w:r>
              <w:t xml:space="preserve">Gloucestershire – members of the </w:t>
            </w:r>
            <w:r w:rsidR="0095151C">
              <w:t>Trust and CCGs attended, answer</w:t>
            </w:r>
            <w:r>
              <w:t xml:space="preserve">s were guarded.  Nothing further planned.  </w:t>
            </w:r>
          </w:p>
          <w:p w:rsidR="00A02FEE" w:rsidRDefault="00A02FEE" w:rsidP="00A02FEE">
            <w:pPr>
              <w:pStyle w:val="ListParagraph"/>
              <w:numPr>
                <w:ilvl w:val="0"/>
                <w:numId w:val="1"/>
              </w:numPr>
            </w:pPr>
            <w:r>
              <w:t>Somerset – engagement relating to the STP was started last year.  Documentation needs to be written in plain English.</w:t>
            </w:r>
          </w:p>
          <w:p w:rsidR="0095151C" w:rsidRDefault="0095151C" w:rsidP="00A02FEE">
            <w:pPr>
              <w:pStyle w:val="ListParagraph"/>
              <w:numPr>
                <w:ilvl w:val="0"/>
                <w:numId w:val="1"/>
              </w:numPr>
            </w:pPr>
            <w:proofErr w:type="spellStart"/>
            <w:r>
              <w:t>BaNES</w:t>
            </w:r>
            <w:proofErr w:type="spellEnd"/>
            <w:r>
              <w:t>, Swindon and Wiltshire STP – Healthwatch Swindon representative Mark Edwards is attending engagement events and Healthwatch is involved in how the STP is being set up.</w:t>
            </w:r>
          </w:p>
          <w:p w:rsidR="0095151C" w:rsidRDefault="0095151C" w:rsidP="00A02FEE">
            <w:pPr>
              <w:pStyle w:val="ListParagraph"/>
              <w:numPr>
                <w:ilvl w:val="0"/>
                <w:numId w:val="1"/>
              </w:numPr>
            </w:pPr>
            <w:r>
              <w:t>North Somerset – no engagement as yet but is working with BNSSG STP.  STP summary available from Healthwatch website.</w:t>
            </w:r>
          </w:p>
          <w:p w:rsidR="00B75724" w:rsidRDefault="0095151C" w:rsidP="00B75724">
            <w:pPr>
              <w:pStyle w:val="ListParagraph"/>
              <w:numPr>
                <w:ilvl w:val="0"/>
                <w:numId w:val="1"/>
              </w:numPr>
            </w:pPr>
            <w:r>
              <w:t xml:space="preserve">Cornwall – so far the Overview and Scrutiny Committee has rejected plans.  </w:t>
            </w:r>
          </w:p>
          <w:p w:rsidR="0095151C" w:rsidRDefault="0095151C" w:rsidP="0095151C">
            <w:r>
              <w:t>In general Healthwatch is involved but needs to maintain some distance in order to act as the critical friend.</w:t>
            </w:r>
          </w:p>
          <w:p w:rsidR="00B75724" w:rsidRDefault="00B75724" w:rsidP="0095151C">
            <w:r>
              <w:t>NHS England has just published ‘Next Steps on the Five Year Forward View’. The summary of this would provide a useful update for those interested in the current state of play.</w:t>
            </w:r>
          </w:p>
          <w:p w:rsidR="00B75724" w:rsidRDefault="00B75724" w:rsidP="0095151C">
            <w:r>
              <w:t>Following the Senate’s review of emergency general surgery, inclusion of these recommendations will be assessed as the Senate picks up the review of STPs.</w:t>
            </w:r>
          </w:p>
          <w:p w:rsidR="00D66DA2" w:rsidRPr="00A02FEE" w:rsidRDefault="00B75724" w:rsidP="00DA7DB3">
            <w:proofErr w:type="spellStart"/>
            <w:r>
              <w:t>PYates</w:t>
            </w:r>
            <w:proofErr w:type="spellEnd"/>
            <w:r>
              <w:t xml:space="preserve"> confirmed that </w:t>
            </w:r>
            <w:r w:rsidR="00DA7DB3">
              <w:t>the current versions of the STP frameworks for change</w:t>
            </w:r>
            <w:r>
              <w:t xml:space="preserve"> are draft.  STPs are currently </w:t>
            </w:r>
            <w:r w:rsidR="00DA7DB3">
              <w:t>engaging</w:t>
            </w:r>
            <w:r>
              <w:t xml:space="preserve"> with the public </w:t>
            </w:r>
            <w:r w:rsidR="00DA7DB3">
              <w:t>about specific plans that are part</w:t>
            </w:r>
            <w:r w:rsidR="00D66DA2">
              <w:t xml:space="preserve"> of the framework for change.  </w:t>
            </w:r>
            <w:r w:rsidR="00D66DA2">
              <w:t xml:space="preserve">Where large scale change is planned </w:t>
            </w:r>
            <w:r w:rsidR="00D66DA2">
              <w:t>the Senate will</w:t>
            </w:r>
            <w:r w:rsidR="00DA7DB3">
              <w:t xml:space="preserve"> be requested to </w:t>
            </w:r>
            <w:r w:rsidR="00D66DA2">
              <w:t xml:space="preserve">review and </w:t>
            </w:r>
            <w:r w:rsidR="00DA7DB3">
              <w:t>inform the assurance of these plans.</w:t>
            </w:r>
          </w:p>
        </w:tc>
        <w:tc>
          <w:tcPr>
            <w:tcW w:w="1186" w:type="dxa"/>
          </w:tcPr>
          <w:p w:rsidR="008E42DB" w:rsidRPr="00E572BB" w:rsidRDefault="008E42DB" w:rsidP="00D01216">
            <w:pPr>
              <w:jc w:val="center"/>
              <w:rPr>
                <w:rFonts w:cs="Arial"/>
                <w:szCs w:val="22"/>
              </w:rPr>
            </w:pPr>
          </w:p>
        </w:tc>
      </w:tr>
      <w:tr w:rsidR="008E42DB" w:rsidRPr="00E572BB" w:rsidTr="00B75724">
        <w:tc>
          <w:tcPr>
            <w:tcW w:w="627" w:type="dxa"/>
            <w:gridSpan w:val="2"/>
          </w:tcPr>
          <w:p w:rsidR="008E42DB" w:rsidRPr="00E572BB" w:rsidRDefault="00B75724" w:rsidP="00D01216">
            <w:pPr>
              <w:jc w:val="both"/>
              <w:rPr>
                <w:rFonts w:cs="Arial"/>
                <w:b/>
                <w:szCs w:val="22"/>
              </w:rPr>
            </w:pPr>
            <w:r>
              <w:rPr>
                <w:rFonts w:cs="Arial"/>
                <w:b/>
                <w:szCs w:val="22"/>
              </w:rPr>
              <w:lastRenderedPageBreak/>
              <w:t>4</w:t>
            </w:r>
          </w:p>
        </w:tc>
        <w:tc>
          <w:tcPr>
            <w:tcW w:w="7440" w:type="dxa"/>
            <w:gridSpan w:val="2"/>
          </w:tcPr>
          <w:p w:rsidR="008E42DB" w:rsidRPr="00E572BB" w:rsidRDefault="00B75724" w:rsidP="00D01216">
            <w:pPr>
              <w:rPr>
                <w:rFonts w:cs="Arial"/>
                <w:b/>
                <w:szCs w:val="22"/>
              </w:rPr>
            </w:pPr>
            <w:r>
              <w:rPr>
                <w:rFonts w:cs="Arial"/>
                <w:b/>
                <w:szCs w:val="22"/>
              </w:rPr>
              <w:t>Healthwatch Update Session</w:t>
            </w:r>
          </w:p>
        </w:tc>
        <w:tc>
          <w:tcPr>
            <w:tcW w:w="1186" w:type="dxa"/>
          </w:tcPr>
          <w:p w:rsidR="008E42DB" w:rsidRPr="00E572BB" w:rsidRDefault="008E42DB" w:rsidP="00D01216">
            <w:pPr>
              <w:jc w:val="center"/>
              <w:rPr>
                <w:rFonts w:cs="Arial"/>
                <w:szCs w:val="22"/>
              </w:rPr>
            </w:pPr>
          </w:p>
        </w:tc>
      </w:tr>
      <w:tr w:rsidR="008E42DB" w:rsidRPr="00E572BB" w:rsidTr="002D105F">
        <w:trPr>
          <w:trHeight w:val="636"/>
        </w:trPr>
        <w:tc>
          <w:tcPr>
            <w:tcW w:w="627" w:type="dxa"/>
            <w:gridSpan w:val="2"/>
          </w:tcPr>
          <w:p w:rsidR="008E42DB" w:rsidRPr="00E572BB" w:rsidRDefault="008E42DB" w:rsidP="00D01216">
            <w:pPr>
              <w:jc w:val="both"/>
              <w:rPr>
                <w:rFonts w:cs="Arial"/>
                <w:szCs w:val="22"/>
              </w:rPr>
            </w:pPr>
          </w:p>
        </w:tc>
        <w:tc>
          <w:tcPr>
            <w:tcW w:w="7440" w:type="dxa"/>
            <w:gridSpan w:val="2"/>
          </w:tcPr>
          <w:p w:rsidR="008E42DB" w:rsidRPr="00E572BB" w:rsidRDefault="00B75724" w:rsidP="00D01216">
            <w:pPr>
              <w:rPr>
                <w:rFonts w:cs="Arial"/>
                <w:szCs w:val="22"/>
              </w:rPr>
            </w:pPr>
            <w:r>
              <w:rPr>
                <w:rFonts w:cs="Arial"/>
                <w:szCs w:val="22"/>
              </w:rPr>
              <w:t>Each CA member gave an update about what is happening within their Healthwatch area.</w:t>
            </w:r>
          </w:p>
        </w:tc>
        <w:tc>
          <w:tcPr>
            <w:tcW w:w="1186" w:type="dxa"/>
          </w:tcPr>
          <w:p w:rsidR="008E42DB" w:rsidRPr="00E572BB" w:rsidRDefault="008E42DB" w:rsidP="00D01216">
            <w:pPr>
              <w:rPr>
                <w:rFonts w:cs="Arial"/>
                <w:szCs w:val="22"/>
              </w:rPr>
            </w:pPr>
          </w:p>
        </w:tc>
      </w:tr>
      <w:tr w:rsidR="008E42DB" w:rsidRPr="00E572BB" w:rsidTr="00B75724">
        <w:tc>
          <w:tcPr>
            <w:tcW w:w="627" w:type="dxa"/>
            <w:gridSpan w:val="2"/>
          </w:tcPr>
          <w:p w:rsidR="008E42DB" w:rsidRPr="00E572BB" w:rsidRDefault="008E42DB" w:rsidP="00D01216">
            <w:pPr>
              <w:jc w:val="both"/>
              <w:rPr>
                <w:rFonts w:cs="Arial"/>
                <w:b/>
                <w:szCs w:val="22"/>
              </w:rPr>
            </w:pPr>
            <w:r w:rsidRPr="00E572BB">
              <w:rPr>
                <w:rFonts w:cs="Arial"/>
                <w:b/>
                <w:szCs w:val="22"/>
              </w:rPr>
              <w:t>5</w:t>
            </w:r>
          </w:p>
        </w:tc>
        <w:tc>
          <w:tcPr>
            <w:tcW w:w="7440" w:type="dxa"/>
            <w:gridSpan w:val="2"/>
          </w:tcPr>
          <w:p w:rsidR="008E42DB" w:rsidRPr="00E572BB" w:rsidRDefault="00B75724" w:rsidP="00D01216">
            <w:pPr>
              <w:rPr>
                <w:rFonts w:cs="Arial"/>
                <w:b/>
                <w:szCs w:val="22"/>
              </w:rPr>
            </w:pPr>
            <w:r>
              <w:rPr>
                <w:rFonts w:cs="Arial"/>
                <w:b/>
                <w:szCs w:val="22"/>
              </w:rPr>
              <w:t>Next Meeting</w:t>
            </w:r>
          </w:p>
        </w:tc>
        <w:tc>
          <w:tcPr>
            <w:tcW w:w="1186" w:type="dxa"/>
          </w:tcPr>
          <w:p w:rsidR="008E42DB" w:rsidRPr="00E572BB" w:rsidRDefault="008E42DB" w:rsidP="00D01216">
            <w:pPr>
              <w:rPr>
                <w:rFonts w:cs="Arial"/>
                <w:b/>
                <w:szCs w:val="22"/>
              </w:rPr>
            </w:pPr>
          </w:p>
        </w:tc>
      </w:tr>
      <w:tr w:rsidR="008E42DB" w:rsidRPr="00E572BB" w:rsidTr="00B75724">
        <w:tc>
          <w:tcPr>
            <w:tcW w:w="627" w:type="dxa"/>
            <w:gridSpan w:val="2"/>
          </w:tcPr>
          <w:p w:rsidR="008E42DB" w:rsidRPr="00E572BB" w:rsidRDefault="008E42DB" w:rsidP="00D01216">
            <w:pPr>
              <w:jc w:val="both"/>
              <w:rPr>
                <w:rFonts w:cs="Arial"/>
                <w:szCs w:val="22"/>
              </w:rPr>
            </w:pPr>
          </w:p>
        </w:tc>
        <w:tc>
          <w:tcPr>
            <w:tcW w:w="7440" w:type="dxa"/>
            <w:gridSpan w:val="2"/>
          </w:tcPr>
          <w:p w:rsidR="008E42DB" w:rsidRPr="000536BD" w:rsidRDefault="00B75724" w:rsidP="00D01216">
            <w:pPr>
              <w:rPr>
                <w:rFonts w:cs="Arial"/>
                <w:szCs w:val="22"/>
              </w:rPr>
            </w:pPr>
            <w:r w:rsidRPr="000536BD">
              <w:rPr>
                <w:rFonts w:cs="Arial"/>
                <w:szCs w:val="22"/>
              </w:rPr>
              <w:t>The next meeting will be</w:t>
            </w:r>
            <w:r w:rsidR="000536BD" w:rsidRPr="000536BD">
              <w:rPr>
                <w:rFonts w:cs="Arial"/>
                <w:szCs w:val="22"/>
              </w:rPr>
              <w:t xml:space="preserve"> 8</w:t>
            </w:r>
            <w:r w:rsidR="000536BD" w:rsidRPr="000536BD">
              <w:rPr>
                <w:rFonts w:cs="Arial"/>
                <w:szCs w:val="22"/>
                <w:vertAlign w:val="superscript"/>
              </w:rPr>
              <w:t>th</w:t>
            </w:r>
            <w:r w:rsidR="000536BD" w:rsidRPr="000536BD">
              <w:rPr>
                <w:rFonts w:cs="Arial"/>
                <w:szCs w:val="22"/>
              </w:rPr>
              <w:t xml:space="preserve"> June at Taunton Rugby Football Club</w:t>
            </w:r>
          </w:p>
        </w:tc>
        <w:tc>
          <w:tcPr>
            <w:tcW w:w="1186" w:type="dxa"/>
          </w:tcPr>
          <w:p w:rsidR="008E42DB" w:rsidRPr="00E572BB" w:rsidRDefault="008E42DB" w:rsidP="00D01216">
            <w:pPr>
              <w:jc w:val="center"/>
              <w:rPr>
                <w:rFonts w:cs="Arial"/>
                <w:b/>
                <w:szCs w:val="22"/>
              </w:rPr>
            </w:pPr>
          </w:p>
        </w:tc>
      </w:tr>
    </w:tbl>
    <w:p w:rsidR="008E42DB" w:rsidRPr="00C663B7" w:rsidRDefault="008E42DB" w:rsidP="008E42DB">
      <w:pPr>
        <w:rPr>
          <w:rFonts w:cs="Arial"/>
        </w:rPr>
      </w:pPr>
    </w:p>
    <w:p w:rsidR="00026B4B" w:rsidRDefault="00026B4B"/>
    <w:sectPr w:rsidR="00026B4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A60" w:rsidRDefault="00376A60" w:rsidP="008E42DB">
      <w:r>
        <w:separator/>
      </w:r>
    </w:p>
  </w:endnote>
  <w:endnote w:type="continuationSeparator" w:id="0">
    <w:p w:rsidR="00376A60" w:rsidRDefault="00376A60" w:rsidP="008E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7C8" w:rsidRDefault="004F77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619905"/>
      <w:docPartObj>
        <w:docPartGallery w:val="Page Numbers (Bottom of Page)"/>
        <w:docPartUnique/>
      </w:docPartObj>
    </w:sdtPr>
    <w:sdtEndPr/>
    <w:sdtContent>
      <w:sdt>
        <w:sdtPr>
          <w:id w:val="98381352"/>
          <w:docPartObj>
            <w:docPartGallery w:val="Page Numbers (Top of Page)"/>
            <w:docPartUnique/>
          </w:docPartObj>
        </w:sdtPr>
        <w:sdtEndPr/>
        <w:sdtContent>
          <w:p w:rsidR="008E42DB" w:rsidRPr="008E42DB" w:rsidRDefault="008E42DB" w:rsidP="008E42DB">
            <w:pPr>
              <w:pStyle w:val="Footer"/>
              <w:jc w:val="right"/>
              <w:rPr>
                <w:rFonts w:ascii="Arial" w:hAnsi="Arial" w:cs="Arial"/>
                <w:b/>
                <w:bCs/>
                <w:sz w:val="20"/>
                <w:szCs w:val="20"/>
              </w:rPr>
            </w:pPr>
            <w:r w:rsidRPr="008E42DB">
              <w:rPr>
                <w:rFonts w:ascii="Arial" w:hAnsi="Arial" w:cs="Arial"/>
                <w:sz w:val="20"/>
                <w:szCs w:val="20"/>
              </w:rPr>
              <w:t xml:space="preserve">Page </w:t>
            </w:r>
            <w:r w:rsidRPr="008E42DB">
              <w:rPr>
                <w:rFonts w:ascii="Arial" w:hAnsi="Arial" w:cs="Arial"/>
                <w:b/>
                <w:bCs/>
                <w:sz w:val="20"/>
                <w:szCs w:val="20"/>
              </w:rPr>
              <w:fldChar w:fldCharType="begin"/>
            </w:r>
            <w:r w:rsidRPr="008E42DB">
              <w:rPr>
                <w:rFonts w:ascii="Arial" w:hAnsi="Arial" w:cs="Arial"/>
                <w:b/>
                <w:bCs/>
                <w:sz w:val="20"/>
                <w:szCs w:val="20"/>
              </w:rPr>
              <w:instrText xml:space="preserve"> PAGE </w:instrText>
            </w:r>
            <w:r w:rsidRPr="008E42DB">
              <w:rPr>
                <w:rFonts w:ascii="Arial" w:hAnsi="Arial" w:cs="Arial"/>
                <w:b/>
                <w:bCs/>
                <w:sz w:val="20"/>
                <w:szCs w:val="20"/>
              </w:rPr>
              <w:fldChar w:fldCharType="separate"/>
            </w:r>
            <w:r w:rsidR="00043E57">
              <w:rPr>
                <w:rFonts w:ascii="Arial" w:hAnsi="Arial" w:cs="Arial"/>
                <w:b/>
                <w:bCs/>
                <w:noProof/>
                <w:sz w:val="20"/>
                <w:szCs w:val="20"/>
              </w:rPr>
              <w:t>1</w:t>
            </w:r>
            <w:r w:rsidRPr="008E42DB">
              <w:rPr>
                <w:rFonts w:ascii="Arial" w:hAnsi="Arial" w:cs="Arial"/>
                <w:b/>
                <w:bCs/>
                <w:sz w:val="20"/>
                <w:szCs w:val="20"/>
              </w:rPr>
              <w:fldChar w:fldCharType="end"/>
            </w:r>
            <w:r w:rsidRPr="008E42DB">
              <w:rPr>
                <w:rFonts w:ascii="Arial" w:hAnsi="Arial" w:cs="Arial"/>
                <w:sz w:val="20"/>
                <w:szCs w:val="20"/>
              </w:rPr>
              <w:t xml:space="preserve"> of </w:t>
            </w:r>
            <w:r w:rsidRPr="008E42DB">
              <w:rPr>
                <w:rFonts w:ascii="Arial" w:hAnsi="Arial" w:cs="Arial"/>
                <w:b/>
                <w:bCs/>
                <w:sz w:val="20"/>
                <w:szCs w:val="20"/>
              </w:rPr>
              <w:fldChar w:fldCharType="begin"/>
            </w:r>
            <w:r w:rsidRPr="008E42DB">
              <w:rPr>
                <w:rFonts w:ascii="Arial" w:hAnsi="Arial" w:cs="Arial"/>
                <w:b/>
                <w:bCs/>
                <w:sz w:val="20"/>
                <w:szCs w:val="20"/>
              </w:rPr>
              <w:instrText xml:space="preserve"> NUMPAGES  </w:instrText>
            </w:r>
            <w:r w:rsidRPr="008E42DB">
              <w:rPr>
                <w:rFonts w:ascii="Arial" w:hAnsi="Arial" w:cs="Arial"/>
                <w:b/>
                <w:bCs/>
                <w:sz w:val="20"/>
                <w:szCs w:val="20"/>
              </w:rPr>
              <w:fldChar w:fldCharType="separate"/>
            </w:r>
            <w:r w:rsidR="00043E57">
              <w:rPr>
                <w:rFonts w:ascii="Arial" w:hAnsi="Arial" w:cs="Arial"/>
                <w:b/>
                <w:bCs/>
                <w:noProof/>
                <w:sz w:val="20"/>
                <w:szCs w:val="20"/>
              </w:rPr>
              <w:t>4</w:t>
            </w:r>
            <w:r w:rsidRPr="008E42DB">
              <w:rPr>
                <w:rFonts w:ascii="Arial" w:hAnsi="Arial" w:cs="Arial"/>
                <w:b/>
                <w:bCs/>
                <w:sz w:val="20"/>
                <w:szCs w:val="20"/>
              </w:rPr>
              <w:fldChar w:fldCharType="end"/>
            </w:r>
          </w:p>
          <w:p w:rsidR="008E42DB" w:rsidRDefault="008E42DB" w:rsidP="008E42DB">
            <w:pPr>
              <w:pStyle w:val="Footer"/>
            </w:pPr>
            <w:r w:rsidRPr="008E42DB">
              <w:rPr>
                <w:rFonts w:ascii="Arial" w:hAnsi="Arial" w:cs="Arial"/>
                <w:bCs/>
                <w:sz w:val="20"/>
                <w:szCs w:val="20"/>
              </w:rPr>
              <w:t>File path:</w:t>
            </w:r>
          </w:p>
        </w:sdtContent>
      </w:sdt>
    </w:sdtContent>
  </w:sdt>
  <w:p w:rsidR="008E42DB" w:rsidRDefault="008E42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7C8" w:rsidRDefault="004F7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A60" w:rsidRDefault="00376A60" w:rsidP="008E42DB">
      <w:r>
        <w:separator/>
      </w:r>
    </w:p>
  </w:footnote>
  <w:footnote w:type="continuationSeparator" w:id="0">
    <w:p w:rsidR="00376A60" w:rsidRDefault="00376A60" w:rsidP="008E4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7C8" w:rsidRDefault="004F77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2DB" w:rsidRDefault="004F77C8" w:rsidP="008E42DB">
    <w:pPr>
      <w:pStyle w:val="Header"/>
      <w:jc w:val="right"/>
    </w:pPr>
    <w:r>
      <w:rPr>
        <w:noProof/>
        <w:lang w:eastAsia="en-GB"/>
      </w:rPr>
      <w:drawing>
        <wp:inline distT="0" distB="0" distL="0" distR="0">
          <wp:extent cx="2169601" cy="974709"/>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West Clinical Senate RGB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2278" cy="975912"/>
                  </a:xfrm>
                  <a:prstGeom prst="rect">
                    <a:avLst/>
                  </a:prstGeom>
                </pic:spPr>
              </pic:pic>
            </a:graphicData>
          </a:graphic>
        </wp:inline>
      </w:drawing>
    </w:r>
  </w:p>
  <w:p w:rsidR="008E42DB" w:rsidRDefault="008E42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7C8" w:rsidRDefault="004F77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D2429"/>
    <w:multiLevelType w:val="hybridMultilevel"/>
    <w:tmpl w:val="4F56FE76"/>
    <w:lvl w:ilvl="0" w:tplc="57FA89C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A60"/>
    <w:rsid w:val="00026B4B"/>
    <w:rsid w:val="00043E57"/>
    <w:rsid w:val="000536BD"/>
    <w:rsid w:val="00111380"/>
    <w:rsid w:val="00152FF7"/>
    <w:rsid w:val="001A4866"/>
    <w:rsid w:val="00205430"/>
    <w:rsid w:val="002B1988"/>
    <w:rsid w:val="002D105F"/>
    <w:rsid w:val="002F5C83"/>
    <w:rsid w:val="00376A60"/>
    <w:rsid w:val="004F77C8"/>
    <w:rsid w:val="00566875"/>
    <w:rsid w:val="005A01AE"/>
    <w:rsid w:val="006350E3"/>
    <w:rsid w:val="006E3624"/>
    <w:rsid w:val="008E42DB"/>
    <w:rsid w:val="0095151C"/>
    <w:rsid w:val="009D2E17"/>
    <w:rsid w:val="00A02FEE"/>
    <w:rsid w:val="00A13AEF"/>
    <w:rsid w:val="00B75724"/>
    <w:rsid w:val="00BF5C34"/>
    <w:rsid w:val="00C9656C"/>
    <w:rsid w:val="00CE4096"/>
    <w:rsid w:val="00D43058"/>
    <w:rsid w:val="00D66DA2"/>
    <w:rsid w:val="00D87483"/>
    <w:rsid w:val="00DA7DB3"/>
    <w:rsid w:val="00F11953"/>
    <w:rsid w:val="00F54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DB"/>
    <w:pPr>
      <w:spacing w:after="0" w:line="240" w:lineRule="auto"/>
    </w:pPr>
    <w:rPr>
      <w:rFonts w:ascii="Arial" w:eastAsia="Times New Roman" w:hAnsi="Arial" w:cs="Times New Roman"/>
      <w:szCs w:val="20"/>
    </w:rPr>
  </w:style>
  <w:style w:type="paragraph" w:styleId="Heading6">
    <w:name w:val="heading 6"/>
    <w:basedOn w:val="Normal"/>
    <w:next w:val="Normal"/>
    <w:link w:val="Heading6Char"/>
    <w:uiPriority w:val="9"/>
    <w:qFormat/>
    <w:rsid w:val="008E42DB"/>
    <w:pPr>
      <w:keepNext/>
      <w:outlineLvl w:val="5"/>
    </w:pPr>
    <w:rPr>
      <w:rFonts w:ascii="Calibri" w:hAnsi="Calibri"/>
      <w:b/>
      <w:bCs/>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2DB"/>
    <w:pPr>
      <w:tabs>
        <w:tab w:val="center" w:pos="4513"/>
        <w:tab w:val="right" w:pos="9026"/>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8E42DB"/>
  </w:style>
  <w:style w:type="paragraph" w:styleId="Footer">
    <w:name w:val="footer"/>
    <w:basedOn w:val="Normal"/>
    <w:link w:val="FooterChar"/>
    <w:uiPriority w:val="99"/>
    <w:unhideWhenUsed/>
    <w:rsid w:val="008E42DB"/>
    <w:pPr>
      <w:tabs>
        <w:tab w:val="center" w:pos="4513"/>
        <w:tab w:val="right" w:pos="9026"/>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8E42DB"/>
  </w:style>
  <w:style w:type="paragraph" w:styleId="BalloonText">
    <w:name w:val="Balloon Text"/>
    <w:basedOn w:val="Normal"/>
    <w:link w:val="BalloonTextChar"/>
    <w:uiPriority w:val="99"/>
    <w:semiHidden/>
    <w:unhideWhenUsed/>
    <w:rsid w:val="008E42D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E42DB"/>
    <w:rPr>
      <w:rFonts w:ascii="Tahoma" w:hAnsi="Tahoma" w:cs="Tahoma"/>
      <w:sz w:val="16"/>
      <w:szCs w:val="16"/>
    </w:rPr>
  </w:style>
  <w:style w:type="character" w:customStyle="1" w:styleId="Heading6Char">
    <w:name w:val="Heading 6 Char"/>
    <w:basedOn w:val="DefaultParagraphFont"/>
    <w:link w:val="Heading6"/>
    <w:uiPriority w:val="9"/>
    <w:rsid w:val="008E42DB"/>
    <w:rPr>
      <w:rFonts w:ascii="Calibri" w:eastAsia="Times New Roman" w:hAnsi="Calibri" w:cs="Times New Roman"/>
      <w:b/>
      <w:bCs/>
      <w:lang w:val="x-none"/>
    </w:rPr>
  </w:style>
  <w:style w:type="paragraph" w:customStyle="1" w:styleId="MinsTitle">
    <w:name w:val="Mins Title"/>
    <w:basedOn w:val="Normal"/>
    <w:rsid w:val="008E42DB"/>
    <w:pPr>
      <w:spacing w:before="240" w:after="240"/>
    </w:pPr>
    <w:rPr>
      <w:b/>
      <w:color w:val="000080"/>
      <w:sz w:val="36"/>
    </w:rPr>
  </w:style>
  <w:style w:type="table" w:styleId="TableGrid">
    <w:name w:val="Table Grid"/>
    <w:basedOn w:val="TableNormal"/>
    <w:uiPriority w:val="59"/>
    <w:rsid w:val="008E42D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42DB"/>
    <w:pPr>
      <w:ind w:left="720"/>
      <w:contextualSpacing/>
    </w:pPr>
    <w:rPr>
      <w:rFonts w:cs="Arial"/>
      <w:szCs w:val="22"/>
    </w:rPr>
  </w:style>
  <w:style w:type="character" w:styleId="Hyperlink">
    <w:name w:val="Hyperlink"/>
    <w:basedOn w:val="DefaultParagraphFont"/>
    <w:uiPriority w:val="99"/>
    <w:unhideWhenUsed/>
    <w:rsid w:val="00BF5C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DB"/>
    <w:pPr>
      <w:spacing w:after="0" w:line="240" w:lineRule="auto"/>
    </w:pPr>
    <w:rPr>
      <w:rFonts w:ascii="Arial" w:eastAsia="Times New Roman" w:hAnsi="Arial" w:cs="Times New Roman"/>
      <w:szCs w:val="20"/>
    </w:rPr>
  </w:style>
  <w:style w:type="paragraph" w:styleId="Heading6">
    <w:name w:val="heading 6"/>
    <w:basedOn w:val="Normal"/>
    <w:next w:val="Normal"/>
    <w:link w:val="Heading6Char"/>
    <w:uiPriority w:val="9"/>
    <w:qFormat/>
    <w:rsid w:val="008E42DB"/>
    <w:pPr>
      <w:keepNext/>
      <w:outlineLvl w:val="5"/>
    </w:pPr>
    <w:rPr>
      <w:rFonts w:ascii="Calibri" w:hAnsi="Calibri"/>
      <w:b/>
      <w:bCs/>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2DB"/>
    <w:pPr>
      <w:tabs>
        <w:tab w:val="center" w:pos="4513"/>
        <w:tab w:val="right" w:pos="9026"/>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8E42DB"/>
  </w:style>
  <w:style w:type="paragraph" w:styleId="Footer">
    <w:name w:val="footer"/>
    <w:basedOn w:val="Normal"/>
    <w:link w:val="FooterChar"/>
    <w:uiPriority w:val="99"/>
    <w:unhideWhenUsed/>
    <w:rsid w:val="008E42DB"/>
    <w:pPr>
      <w:tabs>
        <w:tab w:val="center" w:pos="4513"/>
        <w:tab w:val="right" w:pos="9026"/>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8E42DB"/>
  </w:style>
  <w:style w:type="paragraph" w:styleId="BalloonText">
    <w:name w:val="Balloon Text"/>
    <w:basedOn w:val="Normal"/>
    <w:link w:val="BalloonTextChar"/>
    <w:uiPriority w:val="99"/>
    <w:semiHidden/>
    <w:unhideWhenUsed/>
    <w:rsid w:val="008E42D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E42DB"/>
    <w:rPr>
      <w:rFonts w:ascii="Tahoma" w:hAnsi="Tahoma" w:cs="Tahoma"/>
      <w:sz w:val="16"/>
      <w:szCs w:val="16"/>
    </w:rPr>
  </w:style>
  <w:style w:type="character" w:customStyle="1" w:styleId="Heading6Char">
    <w:name w:val="Heading 6 Char"/>
    <w:basedOn w:val="DefaultParagraphFont"/>
    <w:link w:val="Heading6"/>
    <w:uiPriority w:val="9"/>
    <w:rsid w:val="008E42DB"/>
    <w:rPr>
      <w:rFonts w:ascii="Calibri" w:eastAsia="Times New Roman" w:hAnsi="Calibri" w:cs="Times New Roman"/>
      <w:b/>
      <w:bCs/>
      <w:lang w:val="x-none"/>
    </w:rPr>
  </w:style>
  <w:style w:type="paragraph" w:customStyle="1" w:styleId="MinsTitle">
    <w:name w:val="Mins Title"/>
    <w:basedOn w:val="Normal"/>
    <w:rsid w:val="008E42DB"/>
    <w:pPr>
      <w:spacing w:before="240" w:after="240"/>
    </w:pPr>
    <w:rPr>
      <w:b/>
      <w:color w:val="000080"/>
      <w:sz w:val="36"/>
    </w:rPr>
  </w:style>
  <w:style w:type="table" w:styleId="TableGrid">
    <w:name w:val="Table Grid"/>
    <w:basedOn w:val="TableNormal"/>
    <w:uiPriority w:val="59"/>
    <w:rsid w:val="008E42D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42DB"/>
    <w:pPr>
      <w:ind w:left="720"/>
      <w:contextualSpacing/>
    </w:pPr>
    <w:rPr>
      <w:rFonts w:cs="Arial"/>
      <w:szCs w:val="22"/>
    </w:rPr>
  </w:style>
  <w:style w:type="character" w:styleId="Hyperlink">
    <w:name w:val="Hyperlink"/>
    <w:basedOn w:val="DefaultParagraphFont"/>
    <w:uiPriority w:val="99"/>
    <w:unhideWhenUsed/>
    <w:rsid w:val="00BF5C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wsenate.org.uk/senate-assembly/meeting-archiv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SouthPlaza\Medical%20Directorate\Strategic%20Clinical%20Networks\Senate\Admin\Templates\No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998AF-06CF-4832-9D97-4270C294A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Notes</Template>
  <TotalTime>194</TotalTime>
  <Pages>4</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Redka</dc:creator>
  <cp:lastModifiedBy>Sarah Redka</cp:lastModifiedBy>
  <cp:revision>18</cp:revision>
  <dcterms:created xsi:type="dcterms:W3CDTF">2017-04-10T15:08:00Z</dcterms:created>
  <dcterms:modified xsi:type="dcterms:W3CDTF">2017-05-24T13:05:00Z</dcterms:modified>
</cp:coreProperties>
</file>