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Borders>
          <w:bottom w:val="single" w:sz="18" w:space="0" w:color="0000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795"/>
      </w:tblGrid>
      <w:tr w:rsidR="008E42DB" w:rsidRPr="00C663B7" w:rsidTr="00F37E77">
        <w:trPr>
          <w:cantSplit/>
        </w:trPr>
        <w:tc>
          <w:tcPr>
            <w:tcW w:w="7655" w:type="dxa"/>
          </w:tcPr>
          <w:p w:rsidR="008E42DB" w:rsidRDefault="008E42DB" w:rsidP="00066CFF">
            <w:pPr>
              <w:pStyle w:val="Heading6"/>
              <w:rPr>
                <w:rFonts w:ascii="Arial" w:hAnsi="Arial" w:cs="Arial"/>
                <w:bCs w:val="0"/>
                <w:sz w:val="28"/>
                <w:szCs w:val="20"/>
                <w:lang w:val="en-GB"/>
              </w:rPr>
            </w:pPr>
          </w:p>
          <w:p w:rsidR="008E42DB" w:rsidRPr="00C663B7" w:rsidRDefault="003D3474" w:rsidP="006350E3">
            <w:pPr>
              <w:pStyle w:val="Heading6"/>
              <w:rPr>
                <w:rFonts w:ascii="Arial" w:hAnsi="Arial" w:cs="Arial"/>
                <w:bCs w:val="0"/>
                <w:sz w:val="28"/>
                <w:szCs w:val="20"/>
                <w:lang w:val="en-GB"/>
              </w:rPr>
            </w:pPr>
            <w:r>
              <w:rPr>
                <w:rFonts w:ascii="Arial" w:hAnsi="Arial" w:cs="Arial"/>
                <w:bCs w:val="0"/>
                <w:sz w:val="28"/>
                <w:szCs w:val="20"/>
                <w:lang w:val="en-GB"/>
              </w:rPr>
              <w:t>Notes from Senate Council Meeting</w:t>
            </w:r>
          </w:p>
        </w:tc>
        <w:tc>
          <w:tcPr>
            <w:tcW w:w="1795" w:type="dxa"/>
            <w:vMerge w:val="restart"/>
            <w:tcBorders>
              <w:bottom w:val="nil"/>
            </w:tcBorders>
          </w:tcPr>
          <w:p w:rsidR="008E42DB" w:rsidRPr="00C663B7" w:rsidRDefault="008E42DB" w:rsidP="00066CFF">
            <w:pPr>
              <w:jc w:val="right"/>
              <w:rPr>
                <w:rFonts w:cs="Arial"/>
                <w:b/>
              </w:rPr>
            </w:pPr>
          </w:p>
        </w:tc>
      </w:tr>
      <w:tr w:rsidR="008E42DB" w:rsidRPr="00C663B7" w:rsidTr="00F37E77">
        <w:trPr>
          <w:cantSplit/>
        </w:trPr>
        <w:tc>
          <w:tcPr>
            <w:tcW w:w="7655" w:type="dxa"/>
            <w:tcBorders>
              <w:bottom w:val="nil"/>
            </w:tcBorders>
          </w:tcPr>
          <w:p w:rsidR="008E42DB" w:rsidRPr="008E42DB" w:rsidRDefault="008E42DB" w:rsidP="00F37E77">
            <w:pPr>
              <w:rPr>
                <w:rFonts w:cs="Arial"/>
                <w:b/>
                <w:highlight w:val="yellow"/>
              </w:rPr>
            </w:pPr>
            <w:r w:rsidRPr="003D3474">
              <w:rPr>
                <w:rFonts w:cs="Arial"/>
              </w:rPr>
              <w:t xml:space="preserve">Held on </w:t>
            </w:r>
            <w:r w:rsidR="00F37E77">
              <w:rPr>
                <w:rFonts w:cs="Arial"/>
              </w:rPr>
              <w:t>2</w:t>
            </w:r>
            <w:r w:rsidR="003D3474">
              <w:rPr>
                <w:rFonts w:cs="Arial"/>
              </w:rPr>
              <w:t>7</w:t>
            </w:r>
            <w:r w:rsidR="003D3474" w:rsidRPr="003D3474">
              <w:rPr>
                <w:rFonts w:cs="Arial"/>
                <w:vertAlign w:val="superscript"/>
              </w:rPr>
              <w:t>th</w:t>
            </w:r>
            <w:r w:rsidR="003D3474">
              <w:rPr>
                <w:rFonts w:cs="Arial"/>
              </w:rPr>
              <w:t xml:space="preserve"> </w:t>
            </w:r>
            <w:r w:rsidR="00F37E77">
              <w:rPr>
                <w:rFonts w:cs="Arial"/>
              </w:rPr>
              <w:t>September</w:t>
            </w:r>
            <w:r w:rsidR="003D3474">
              <w:rPr>
                <w:rFonts w:cs="Arial"/>
              </w:rPr>
              <w:t xml:space="preserve"> 2018</w:t>
            </w:r>
          </w:p>
        </w:tc>
        <w:tc>
          <w:tcPr>
            <w:tcW w:w="1795" w:type="dxa"/>
            <w:vMerge/>
            <w:tcBorders>
              <w:bottom w:val="nil"/>
            </w:tcBorders>
          </w:tcPr>
          <w:p w:rsidR="008E42DB" w:rsidRPr="00C663B7" w:rsidRDefault="008E42DB" w:rsidP="00066CFF">
            <w:pPr>
              <w:rPr>
                <w:rFonts w:cs="Arial"/>
                <w:b/>
              </w:rPr>
            </w:pPr>
          </w:p>
        </w:tc>
      </w:tr>
      <w:tr w:rsidR="008E42DB" w:rsidRPr="00C663B7" w:rsidTr="00F37E77">
        <w:trPr>
          <w:cantSplit/>
        </w:trPr>
        <w:tc>
          <w:tcPr>
            <w:tcW w:w="7655" w:type="dxa"/>
          </w:tcPr>
          <w:p w:rsidR="008E42DB" w:rsidRPr="008E42DB" w:rsidRDefault="008E42DB" w:rsidP="00066CFF">
            <w:pPr>
              <w:rPr>
                <w:rFonts w:cs="Arial"/>
                <w:b/>
                <w:highlight w:val="yellow"/>
              </w:rPr>
            </w:pPr>
            <w:r w:rsidRPr="003D3474">
              <w:rPr>
                <w:rFonts w:cs="Arial"/>
              </w:rPr>
              <w:t xml:space="preserve">In </w:t>
            </w:r>
            <w:r w:rsidR="003D3474">
              <w:rPr>
                <w:rFonts w:cs="Arial"/>
              </w:rPr>
              <w:t>Taunton Rugby Club</w:t>
            </w:r>
          </w:p>
        </w:tc>
        <w:tc>
          <w:tcPr>
            <w:tcW w:w="1795" w:type="dxa"/>
            <w:vMerge/>
            <w:tcBorders>
              <w:bottom w:val="nil"/>
            </w:tcBorders>
          </w:tcPr>
          <w:p w:rsidR="008E42DB" w:rsidRPr="00C663B7" w:rsidRDefault="008E42DB" w:rsidP="00066CFF">
            <w:pPr>
              <w:rPr>
                <w:rFonts w:cs="Arial"/>
                <w:b/>
              </w:rPr>
            </w:pPr>
          </w:p>
        </w:tc>
      </w:tr>
      <w:tr w:rsidR="008E42DB" w:rsidRPr="00C663B7" w:rsidTr="00F37E77">
        <w:trPr>
          <w:cantSplit/>
          <w:trHeight w:hRule="exact" w:val="440"/>
        </w:trPr>
        <w:tc>
          <w:tcPr>
            <w:tcW w:w="7655" w:type="dxa"/>
            <w:tcBorders>
              <w:bottom w:val="single" w:sz="18" w:space="0" w:color="000080"/>
            </w:tcBorders>
          </w:tcPr>
          <w:p w:rsidR="008E42DB" w:rsidRPr="00C663B7" w:rsidRDefault="008E42DB" w:rsidP="00066CFF">
            <w:pPr>
              <w:rPr>
                <w:rFonts w:cs="Arial"/>
              </w:rPr>
            </w:pPr>
          </w:p>
        </w:tc>
        <w:tc>
          <w:tcPr>
            <w:tcW w:w="1795" w:type="dxa"/>
            <w:tcBorders>
              <w:bottom w:val="single" w:sz="18" w:space="0" w:color="000080"/>
            </w:tcBorders>
          </w:tcPr>
          <w:p w:rsidR="008E42DB" w:rsidRPr="00C663B7" w:rsidRDefault="008E42DB" w:rsidP="00066CFF">
            <w:pPr>
              <w:rPr>
                <w:rFonts w:cs="Arial"/>
                <w:b/>
              </w:rPr>
            </w:pPr>
          </w:p>
        </w:tc>
      </w:tr>
    </w:tbl>
    <w:p w:rsidR="00F37E77" w:rsidRDefault="00F37E77" w:rsidP="00F37E77">
      <w:pPr>
        <w:pStyle w:val="MinsTitle"/>
        <w:rPr>
          <w:rFonts w:cs="Arial"/>
          <w:color w:val="auto"/>
        </w:rPr>
      </w:pPr>
      <w:r w:rsidRPr="00C663B7">
        <w:rPr>
          <w:rFonts w:cs="Arial"/>
          <w:color w:val="auto"/>
        </w:rPr>
        <w:t>Meeting Notes</w:t>
      </w:r>
    </w:p>
    <w:p w:rsidR="008E42DB" w:rsidRPr="00C663B7" w:rsidRDefault="008E42DB" w:rsidP="008E42DB">
      <w:pPr>
        <w:rPr>
          <w:rFonts w:cs="Arial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605"/>
        <w:gridCol w:w="18"/>
        <w:gridCol w:w="7436"/>
        <w:gridCol w:w="30"/>
        <w:gridCol w:w="1164"/>
      </w:tblGrid>
      <w:tr w:rsidR="008E42DB" w:rsidRPr="00E572BB" w:rsidTr="00F37E77">
        <w:tc>
          <w:tcPr>
            <w:tcW w:w="605" w:type="dxa"/>
            <w:tcMar>
              <w:left w:w="28" w:type="dxa"/>
              <w:right w:w="28" w:type="dxa"/>
            </w:tcMar>
          </w:tcPr>
          <w:p w:rsidR="008E42DB" w:rsidRPr="00E572BB" w:rsidRDefault="008E42DB" w:rsidP="00066CFF">
            <w:pPr>
              <w:ind w:left="360"/>
              <w:rPr>
                <w:rFonts w:cs="Arial"/>
                <w:b/>
                <w:szCs w:val="22"/>
              </w:rPr>
            </w:pPr>
          </w:p>
        </w:tc>
        <w:tc>
          <w:tcPr>
            <w:tcW w:w="7454" w:type="dxa"/>
            <w:gridSpan w:val="2"/>
          </w:tcPr>
          <w:p w:rsidR="008E42DB" w:rsidRPr="00E572BB" w:rsidRDefault="008E42DB" w:rsidP="00066C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94" w:type="dxa"/>
            <w:gridSpan w:val="2"/>
          </w:tcPr>
          <w:p w:rsidR="008E42DB" w:rsidRPr="00E572BB" w:rsidRDefault="008E42DB" w:rsidP="00066CFF">
            <w:pPr>
              <w:jc w:val="both"/>
              <w:rPr>
                <w:rFonts w:cs="Arial"/>
                <w:b/>
                <w:szCs w:val="22"/>
              </w:rPr>
            </w:pPr>
            <w:r w:rsidRPr="00E572BB">
              <w:rPr>
                <w:rFonts w:cs="Arial"/>
                <w:b/>
                <w:szCs w:val="22"/>
              </w:rPr>
              <w:t>Action</w:t>
            </w:r>
          </w:p>
        </w:tc>
      </w:tr>
      <w:tr w:rsidR="008E42DB" w:rsidRPr="00E572BB" w:rsidTr="00F37E77">
        <w:tc>
          <w:tcPr>
            <w:tcW w:w="605" w:type="dxa"/>
            <w:tcMar>
              <w:left w:w="28" w:type="dxa"/>
              <w:right w:w="28" w:type="dxa"/>
            </w:tcMar>
          </w:tcPr>
          <w:p w:rsidR="008E42DB" w:rsidRPr="00E572BB" w:rsidRDefault="008E42DB" w:rsidP="00066CFF">
            <w:pPr>
              <w:rPr>
                <w:rFonts w:cs="Arial"/>
                <w:b/>
                <w:szCs w:val="22"/>
              </w:rPr>
            </w:pPr>
            <w:r w:rsidRPr="00E572BB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7454" w:type="dxa"/>
            <w:gridSpan w:val="2"/>
          </w:tcPr>
          <w:p w:rsidR="008E42DB" w:rsidRPr="00E572BB" w:rsidRDefault="008E42DB" w:rsidP="00066CFF">
            <w:pPr>
              <w:rPr>
                <w:rFonts w:cs="Arial"/>
                <w:szCs w:val="22"/>
              </w:rPr>
            </w:pPr>
            <w:r w:rsidRPr="00E572BB">
              <w:rPr>
                <w:rFonts w:cs="Arial"/>
                <w:b/>
                <w:szCs w:val="22"/>
              </w:rPr>
              <w:t>Welcome, introductions and business items</w:t>
            </w:r>
          </w:p>
        </w:tc>
        <w:tc>
          <w:tcPr>
            <w:tcW w:w="1194" w:type="dxa"/>
            <w:gridSpan w:val="2"/>
          </w:tcPr>
          <w:p w:rsidR="008E42DB" w:rsidRPr="00E572BB" w:rsidRDefault="008E42DB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</w:tc>
      </w:tr>
      <w:tr w:rsidR="008E42DB" w:rsidRPr="00E572BB" w:rsidTr="00F37E77">
        <w:tc>
          <w:tcPr>
            <w:tcW w:w="605" w:type="dxa"/>
            <w:tcMar>
              <w:left w:w="28" w:type="dxa"/>
              <w:right w:w="28" w:type="dxa"/>
            </w:tcMar>
          </w:tcPr>
          <w:p w:rsidR="008E42DB" w:rsidRPr="00E572BB" w:rsidRDefault="008E42DB" w:rsidP="00066C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454" w:type="dxa"/>
            <w:gridSpan w:val="2"/>
          </w:tcPr>
          <w:p w:rsidR="008E42DB" w:rsidRDefault="008E42DB" w:rsidP="00066CFF">
            <w:pPr>
              <w:rPr>
                <w:rFonts w:cs="Arial"/>
                <w:szCs w:val="22"/>
              </w:rPr>
            </w:pPr>
            <w:r w:rsidRPr="00E572BB">
              <w:rPr>
                <w:rFonts w:cs="Arial"/>
                <w:szCs w:val="22"/>
              </w:rPr>
              <w:t>Round table introductions – attendance and apologies listed above</w:t>
            </w:r>
            <w:r>
              <w:rPr>
                <w:rFonts w:cs="Arial"/>
                <w:szCs w:val="22"/>
              </w:rPr>
              <w:t>.</w:t>
            </w:r>
            <w:r w:rsidR="00824846">
              <w:rPr>
                <w:rFonts w:cs="Arial"/>
                <w:szCs w:val="22"/>
              </w:rPr>
              <w:t xml:space="preserve"> SP welcomed </w:t>
            </w:r>
            <w:proofErr w:type="spellStart"/>
            <w:r w:rsidR="00824846">
              <w:rPr>
                <w:rFonts w:cs="Arial"/>
                <w:szCs w:val="22"/>
              </w:rPr>
              <w:t>SB</w:t>
            </w:r>
            <w:r w:rsidR="001B6319">
              <w:rPr>
                <w:rFonts w:cs="Arial"/>
                <w:szCs w:val="22"/>
              </w:rPr>
              <w:t>erry</w:t>
            </w:r>
            <w:proofErr w:type="spellEnd"/>
            <w:r w:rsidR="00824846">
              <w:rPr>
                <w:rFonts w:cs="Arial"/>
                <w:szCs w:val="22"/>
              </w:rPr>
              <w:t xml:space="preserve"> on her return.</w:t>
            </w:r>
          </w:p>
          <w:p w:rsidR="00824846" w:rsidRDefault="00824846" w:rsidP="00824846">
            <w:pPr>
              <w:pStyle w:val="ListParagraph"/>
              <w:numPr>
                <w:ilvl w:val="0"/>
                <w:numId w:val="5"/>
              </w:numPr>
            </w:pPr>
            <w:r>
              <w:t>Council members were asked to declare any potential conflicts of interest in relation the topic which were recorded.</w:t>
            </w:r>
          </w:p>
          <w:p w:rsidR="003D3474" w:rsidRDefault="00824846" w:rsidP="00066CFF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SPearson</w:t>
            </w:r>
            <w:proofErr w:type="spellEnd"/>
            <w:r>
              <w:t xml:space="preserve"> </w:t>
            </w:r>
            <w:r w:rsidR="00CA7C98">
              <w:t xml:space="preserve">thanked members that have already contributed to the Clinical Review programme and </w:t>
            </w:r>
            <w:r>
              <w:t>gave an update about</w:t>
            </w:r>
            <w:r w:rsidR="00B90263">
              <w:t xml:space="preserve"> recent and</w:t>
            </w:r>
            <w:r>
              <w:t xml:space="preserve"> </w:t>
            </w:r>
            <w:r w:rsidR="00CA7C98">
              <w:t>upcoming clinical reviews, that will</w:t>
            </w:r>
            <w:r w:rsidR="00A26A4D">
              <w:t xml:space="preserve"> require members to participate and </w:t>
            </w:r>
            <w:r w:rsidR="00655C21">
              <w:t xml:space="preserve">encouraged volunteers to contact </w:t>
            </w:r>
            <w:proofErr w:type="spellStart"/>
            <w:r w:rsidR="00655C21">
              <w:t>RPerry</w:t>
            </w:r>
            <w:proofErr w:type="spellEnd"/>
            <w:r w:rsidR="00655C21">
              <w:t xml:space="preserve"> or </w:t>
            </w:r>
            <w:proofErr w:type="spellStart"/>
            <w:r w:rsidR="00655C21">
              <w:t>TTrim</w:t>
            </w:r>
            <w:proofErr w:type="spellEnd"/>
          </w:p>
          <w:p w:rsidR="00824846" w:rsidRDefault="00824846" w:rsidP="00D20054">
            <w:pPr>
              <w:pStyle w:val="ListParagraph"/>
            </w:pPr>
          </w:p>
          <w:tbl>
            <w:tblPr>
              <w:tblW w:w="0" w:type="auto"/>
              <w:tblInd w:w="7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3"/>
              <w:gridCol w:w="3181"/>
            </w:tblGrid>
            <w:tr w:rsidR="00D20054" w:rsidTr="00D20054">
              <w:tc>
                <w:tcPr>
                  <w:tcW w:w="4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STP</w:t>
                  </w:r>
                </w:p>
              </w:tc>
              <w:tc>
                <w:tcPr>
                  <w:tcW w:w="46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Update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Bath Maternity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CRP complete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Gloucestershire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rFonts w:ascii="Calibri" w:eastAsiaTheme="minorHAnsi" w:hAnsi="Calibri"/>
                    </w:rPr>
                  </w:pPr>
                  <w:r>
                    <w:t>Likely to need a further CRP</w:t>
                  </w:r>
                </w:p>
                <w:p w:rsidR="00D20054" w:rsidRDefault="00D20054">
                  <w:pPr>
                    <w:pStyle w:val="ListParagraph"/>
                    <w:ind w:left="0"/>
                  </w:pPr>
                  <w:r>
                    <w:t>Progress delayed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Weston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CRP planned for end of November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Mental Health Services in Bristol, Bath, North Somerset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Will require a CRP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Cornwall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Senate invited to early stakeholder meetings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Devon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rFonts w:ascii="Calibri" w:eastAsiaTheme="minorHAnsi" w:hAnsi="Calibri"/>
                    </w:rPr>
                  </w:pPr>
                  <w:r>
                    <w:t xml:space="preserve">Will require CRP.  </w:t>
                  </w:r>
                </w:p>
                <w:p w:rsidR="00D20054" w:rsidRDefault="00D20054">
                  <w:pPr>
                    <w:pStyle w:val="ListParagraph"/>
                    <w:ind w:left="0"/>
                  </w:pPr>
                  <w:r>
                    <w:t>Timeline not agreed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>Somerset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rFonts w:ascii="Calibri" w:eastAsiaTheme="minorHAnsi" w:hAnsi="Calibri"/>
                    </w:rPr>
                  </w:pPr>
                  <w:r>
                    <w:t>Will require CRP</w:t>
                  </w:r>
                </w:p>
                <w:p w:rsidR="00D20054" w:rsidRDefault="00D20054">
                  <w:pPr>
                    <w:pStyle w:val="ListParagraph"/>
                    <w:ind w:left="0"/>
                  </w:pPr>
                  <w:r>
                    <w:t>March or July 2019</w:t>
                  </w:r>
                </w:p>
              </w:tc>
            </w:tr>
            <w:tr w:rsidR="00D20054" w:rsidTr="00D20054">
              <w:tc>
                <w:tcPr>
                  <w:tcW w:w="4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</w:pPr>
                  <w:r>
                    <w:t xml:space="preserve">Bristol </w:t>
                  </w:r>
                  <w:r w:rsidR="00B90263">
                    <w:t>–</w:t>
                  </w:r>
                  <w:r>
                    <w:t>neonatal services</w:t>
                  </w:r>
                </w:p>
                <w:p w:rsidR="00430199" w:rsidRDefault="00430199">
                  <w:pPr>
                    <w:pStyle w:val="ListParagraph"/>
                    <w:ind w:left="0"/>
                  </w:pPr>
                  <w:r>
                    <w:t>( 2 Centre – to include Plymouth)</w:t>
                  </w:r>
                </w:p>
              </w:tc>
              <w:tc>
                <w:tcPr>
                  <w:tcW w:w="46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0054" w:rsidRDefault="00D20054">
                  <w:pPr>
                    <w:pStyle w:val="ListParagraph"/>
                    <w:ind w:left="0"/>
                    <w:rPr>
                      <w:rFonts w:ascii="Calibri" w:eastAsiaTheme="minorHAnsi" w:hAnsi="Calibri"/>
                    </w:rPr>
                  </w:pPr>
                  <w:r>
                    <w:t>Will require a CRP.</w:t>
                  </w:r>
                </w:p>
                <w:p w:rsidR="00D20054" w:rsidRDefault="00D20054">
                  <w:pPr>
                    <w:pStyle w:val="ListParagraph"/>
                    <w:ind w:left="0"/>
                  </w:pPr>
                  <w:r>
                    <w:t>Timeline not agreed</w:t>
                  </w:r>
                </w:p>
              </w:tc>
            </w:tr>
          </w:tbl>
          <w:p w:rsidR="00D20054" w:rsidRPr="00824846" w:rsidRDefault="00D20054" w:rsidP="00D20054">
            <w:pPr>
              <w:pStyle w:val="ListParagraph"/>
              <w:jc w:val="both"/>
            </w:pPr>
          </w:p>
          <w:p w:rsidR="009F6E22" w:rsidRDefault="00B90263" w:rsidP="009F6E22">
            <w:pPr>
              <w:pStyle w:val="ListParagraph"/>
              <w:numPr>
                <w:ilvl w:val="0"/>
                <w:numId w:val="6"/>
              </w:numPr>
            </w:pPr>
            <w:r>
              <w:t>Notes from 17</w:t>
            </w:r>
            <w:r w:rsidRPr="00FD7BBC">
              <w:rPr>
                <w:vertAlign w:val="superscript"/>
              </w:rPr>
              <w:t>th</w:t>
            </w:r>
            <w:r>
              <w:t xml:space="preserve"> July Senate Council meeting require</w:t>
            </w:r>
            <w:r w:rsidR="00E66510">
              <w:t>d</w:t>
            </w:r>
            <w:r>
              <w:t xml:space="preserve"> an amendment to section </w:t>
            </w:r>
            <w:r w:rsidR="009F6E22">
              <w:t>eight</w:t>
            </w:r>
            <w:r>
              <w:t xml:space="preserve"> regarding the </w:t>
            </w:r>
            <w:r w:rsidR="009F6E22">
              <w:t>Citizens’ Assembly presentation and individual contributions at that meeting</w:t>
            </w:r>
            <w:r>
              <w:t xml:space="preserve">. </w:t>
            </w:r>
          </w:p>
          <w:p w:rsidR="003D3474" w:rsidRDefault="00B90263" w:rsidP="00E66510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Action: </w:t>
            </w:r>
            <w:proofErr w:type="spellStart"/>
            <w:r>
              <w:rPr>
                <w:b/>
              </w:rPr>
              <w:t>TTrim</w:t>
            </w:r>
            <w:proofErr w:type="spellEnd"/>
          </w:p>
          <w:p w:rsidR="00A90669" w:rsidRDefault="00A90669" w:rsidP="00E66510">
            <w:pPr>
              <w:pStyle w:val="ListParagraph"/>
              <w:rPr>
                <w:b/>
              </w:rPr>
            </w:pPr>
          </w:p>
          <w:p w:rsidR="00A90669" w:rsidRPr="00A90669" w:rsidRDefault="00A90669" w:rsidP="00A90669">
            <w:pPr>
              <w:pStyle w:val="ListParagraph"/>
              <w:numPr>
                <w:ilvl w:val="0"/>
                <w:numId w:val="6"/>
              </w:numPr>
            </w:pPr>
            <w:r w:rsidRPr="00A90669">
              <w:t xml:space="preserve">The recommendations </w:t>
            </w:r>
            <w:r>
              <w:t>from the 17</w:t>
            </w:r>
            <w:r w:rsidRPr="00A90669">
              <w:rPr>
                <w:vertAlign w:val="superscript"/>
              </w:rPr>
              <w:t>th</w:t>
            </w:r>
            <w:r>
              <w:t xml:space="preserve"> July Council meeting were distributed.</w:t>
            </w:r>
          </w:p>
          <w:p w:rsidR="00E66510" w:rsidRDefault="00E66510" w:rsidP="00E66510">
            <w:pPr>
              <w:pStyle w:val="ListParagraph"/>
              <w:rPr>
                <w:b/>
              </w:rPr>
            </w:pPr>
          </w:p>
          <w:p w:rsidR="008D7664" w:rsidRDefault="00A26A4D" w:rsidP="008D766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SPearson</w:t>
            </w:r>
            <w:proofErr w:type="spellEnd"/>
            <w:r w:rsidR="008D7664">
              <w:t xml:space="preserve"> outlined that in looking at proposed dates for 2019 Senate Council meetings we will consult with members whether to offer some Council dates on a Tuesday to allow members who find it difficult to attend on a Thursday because of Clinical commitments.</w:t>
            </w:r>
          </w:p>
          <w:p w:rsidR="00E66510" w:rsidRDefault="001A17FD" w:rsidP="001A17FD">
            <w:pPr>
              <w:pStyle w:val="ListParagraph"/>
            </w:pPr>
            <w:r>
              <w:t>A survey for attendance will be sent out to members.</w:t>
            </w:r>
          </w:p>
          <w:p w:rsidR="00A90669" w:rsidRDefault="00A90669" w:rsidP="001A17FD">
            <w:pPr>
              <w:pStyle w:val="ListParagraph"/>
            </w:pPr>
          </w:p>
          <w:p w:rsidR="0039235E" w:rsidRDefault="0039235E" w:rsidP="0039235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SP</w:t>
            </w:r>
            <w:r w:rsidR="00A26A4D">
              <w:t>earson</w:t>
            </w:r>
            <w:proofErr w:type="spellEnd"/>
            <w:r>
              <w:t xml:space="preserve"> welcomed 2 new Council </w:t>
            </w:r>
            <w:proofErr w:type="gramStart"/>
            <w:r>
              <w:t>Members  -</w:t>
            </w:r>
            <w:proofErr w:type="gramEnd"/>
            <w:r>
              <w:t xml:space="preserve"> Dr Rob Dyer and Dr Amelia Randle.</w:t>
            </w:r>
          </w:p>
          <w:p w:rsidR="00A90669" w:rsidRDefault="00A90669" w:rsidP="00A90669">
            <w:pPr>
              <w:pStyle w:val="ListParagraph"/>
            </w:pPr>
          </w:p>
          <w:p w:rsidR="0039235E" w:rsidRDefault="00A26A4D" w:rsidP="00D856F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SPearson</w:t>
            </w:r>
            <w:proofErr w:type="spellEnd"/>
            <w:r w:rsidR="0039235E">
              <w:t xml:space="preserve"> sought Council permission to invite a new </w:t>
            </w:r>
            <w:r w:rsidR="00D856F2">
              <w:t xml:space="preserve">Clinical lead </w:t>
            </w:r>
            <w:r w:rsidR="0039235E">
              <w:t>voting member from West of England AHSN</w:t>
            </w:r>
            <w:r w:rsidR="009A186C">
              <w:t xml:space="preserve"> – Anne </w:t>
            </w:r>
            <w:proofErr w:type="spellStart"/>
            <w:r w:rsidR="009A186C">
              <w:t>Pullyblank</w:t>
            </w:r>
            <w:proofErr w:type="spellEnd"/>
            <w:r w:rsidR="00D856F2">
              <w:t>; and</w:t>
            </w:r>
          </w:p>
          <w:p w:rsidR="00AC2C05" w:rsidRDefault="00D856F2" w:rsidP="00D856F2">
            <w:pPr>
              <w:pStyle w:val="ListParagraph"/>
            </w:pPr>
            <w:proofErr w:type="gramStart"/>
            <w:r>
              <w:t>one</w:t>
            </w:r>
            <w:proofErr w:type="gramEnd"/>
            <w:r w:rsidR="00655C21" w:rsidRPr="00D856F2">
              <w:t xml:space="preserve"> Clinical lead from NICE as an attender</w:t>
            </w:r>
            <w:r w:rsidR="009A186C">
              <w:t xml:space="preserve"> – Jane Jacobi.</w:t>
            </w:r>
          </w:p>
          <w:p w:rsidR="002337E3" w:rsidRDefault="002337E3" w:rsidP="00D856F2">
            <w:pPr>
              <w:pStyle w:val="ListParagraph"/>
            </w:pPr>
            <w:r>
              <w:t>Paperwork</w:t>
            </w:r>
            <w:bookmarkStart w:id="0" w:name="_GoBack"/>
            <w:bookmarkEnd w:id="0"/>
            <w:r>
              <w:t xml:space="preserve"> welcoming them to the Senate Council will be sent to them</w:t>
            </w:r>
            <w:r w:rsidR="00BB2763">
              <w:t>.</w:t>
            </w:r>
          </w:p>
          <w:p w:rsidR="000863DA" w:rsidRDefault="000863DA" w:rsidP="00D856F2">
            <w:pPr>
              <w:pStyle w:val="ListParagraph"/>
            </w:pPr>
          </w:p>
          <w:p w:rsidR="000863DA" w:rsidRPr="00D856F2" w:rsidRDefault="000863DA" w:rsidP="000863DA">
            <w:pPr>
              <w:pStyle w:val="ListParagraph"/>
              <w:numPr>
                <w:ilvl w:val="0"/>
                <w:numId w:val="6"/>
              </w:numPr>
            </w:pPr>
            <w:r>
              <w:t>2019 dates for Senate Council Meetings. A Survey Monkey survey will be sent out to Council Members to ask them for their availability on either a Tuesday or Thursday of the relevant month to ascertain if offering a date other than a Thursday would open up attendance for members with clinical commitments on a Thursday.</w:t>
            </w:r>
          </w:p>
          <w:p w:rsidR="00D856F2" w:rsidRPr="00B90263" w:rsidRDefault="00D856F2" w:rsidP="00D856F2">
            <w:pPr>
              <w:ind w:left="360"/>
            </w:pPr>
          </w:p>
        </w:tc>
        <w:tc>
          <w:tcPr>
            <w:tcW w:w="1194" w:type="dxa"/>
            <w:gridSpan w:val="2"/>
          </w:tcPr>
          <w:p w:rsidR="008E42DB" w:rsidRDefault="008E42DB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1A17FD" w:rsidRDefault="001A17FD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655C21" w:rsidRDefault="00655C21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655C21" w:rsidRDefault="00655C21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2337E3" w:rsidRDefault="002337E3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RP</w:t>
            </w: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</w:p>
          <w:p w:rsidR="000863DA" w:rsidRPr="00E572BB" w:rsidRDefault="000863DA" w:rsidP="00066CFF">
            <w:pPr>
              <w:ind w:left="91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TT</w:t>
            </w:r>
          </w:p>
        </w:tc>
      </w:tr>
      <w:tr w:rsidR="00F37E77" w:rsidRPr="00E572BB" w:rsidTr="00F37E77">
        <w:tc>
          <w:tcPr>
            <w:tcW w:w="623" w:type="dxa"/>
            <w:gridSpan w:val="2"/>
            <w:tcMar>
              <w:left w:w="28" w:type="dxa"/>
              <w:right w:w="28" w:type="dxa"/>
            </w:tcMar>
          </w:tcPr>
          <w:p w:rsidR="00F37E77" w:rsidRPr="00E572BB" w:rsidRDefault="00F37E77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2</w:t>
            </w:r>
          </w:p>
        </w:tc>
        <w:tc>
          <w:tcPr>
            <w:tcW w:w="7466" w:type="dxa"/>
            <w:gridSpan w:val="2"/>
          </w:tcPr>
          <w:p w:rsidR="00F37E77" w:rsidRPr="00E572BB" w:rsidRDefault="00824846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Scene Setting: The Bowel Cancer Pathway and Delivery Challenges</w:t>
            </w:r>
          </w:p>
        </w:tc>
        <w:tc>
          <w:tcPr>
            <w:tcW w:w="1164" w:type="dxa"/>
          </w:tcPr>
          <w:p w:rsidR="00F37E77" w:rsidRPr="00E572BB" w:rsidRDefault="00F37E77" w:rsidP="00066CFF">
            <w:pPr>
              <w:ind w:left="720"/>
              <w:jc w:val="center"/>
              <w:rPr>
                <w:rFonts w:cs="Arial"/>
                <w:b/>
                <w:szCs w:val="22"/>
              </w:rPr>
            </w:pPr>
          </w:p>
        </w:tc>
      </w:tr>
      <w:tr w:rsidR="00F37E77" w:rsidRPr="00E572BB" w:rsidTr="00824846">
        <w:trPr>
          <w:trHeight w:val="2655"/>
        </w:trPr>
        <w:tc>
          <w:tcPr>
            <w:tcW w:w="623" w:type="dxa"/>
            <w:gridSpan w:val="2"/>
            <w:tcMar>
              <w:left w:w="28" w:type="dxa"/>
              <w:right w:w="28" w:type="dxa"/>
            </w:tcMar>
          </w:tcPr>
          <w:p w:rsidR="00F37E77" w:rsidRPr="00E572BB" w:rsidRDefault="00F37E77" w:rsidP="00066CF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466" w:type="dxa"/>
            <w:gridSpan w:val="2"/>
          </w:tcPr>
          <w:p w:rsidR="00824846" w:rsidRPr="00824846" w:rsidRDefault="00824846" w:rsidP="00824846">
            <w:pPr>
              <w:rPr>
                <w:rFonts w:cs="Arial"/>
                <w:b/>
                <w:i/>
                <w:snapToGrid w:val="0"/>
                <w:szCs w:val="22"/>
              </w:rPr>
            </w:pPr>
            <w:r w:rsidRPr="00175AA6">
              <w:rPr>
                <w:rFonts w:cs="Arial"/>
                <w:b/>
                <w:szCs w:val="22"/>
              </w:rPr>
              <w:t xml:space="preserve">The aim of this meeting is to </w:t>
            </w:r>
            <w:r>
              <w:rPr>
                <w:rFonts w:cs="Arial"/>
                <w:b/>
                <w:szCs w:val="22"/>
              </w:rPr>
              <w:t>deliberate “</w:t>
            </w:r>
            <w:r w:rsidRPr="00824846">
              <w:rPr>
                <w:rFonts w:cs="Arial"/>
                <w:b/>
                <w:i/>
                <w:snapToGrid w:val="0"/>
                <w:szCs w:val="22"/>
              </w:rPr>
              <w:t xml:space="preserve">To what extent are providers in the South West able to deliver the national commissioning pathways for colorectal cancer patients? </w:t>
            </w:r>
          </w:p>
          <w:p w:rsidR="00824846" w:rsidRPr="00824846" w:rsidRDefault="00824846" w:rsidP="00824846">
            <w:pPr>
              <w:widowControl w:val="0"/>
              <w:rPr>
                <w:rFonts w:cs="Arial"/>
                <w:b/>
                <w:i/>
                <w:snapToGrid w:val="0"/>
                <w:szCs w:val="22"/>
              </w:rPr>
            </w:pPr>
          </w:p>
          <w:p w:rsidR="00DF208B" w:rsidRDefault="00824846" w:rsidP="00824846">
            <w:pPr>
              <w:rPr>
                <w:rFonts w:cs="Arial"/>
                <w:szCs w:val="22"/>
              </w:rPr>
            </w:pPr>
            <w:r w:rsidRPr="00824846">
              <w:rPr>
                <w:rFonts w:cs="Arial"/>
                <w:b/>
                <w:i/>
                <w:snapToGrid w:val="0"/>
                <w:szCs w:val="22"/>
              </w:rPr>
              <w:t>What are the key areas for pathway redesign and provision of service that will improve the quality of experience &amp; timeliness of treatment for patients across the region?</w:t>
            </w:r>
            <w:r>
              <w:rPr>
                <w:rFonts w:cs="Arial"/>
                <w:b/>
                <w:i/>
                <w:snapToGrid w:val="0"/>
                <w:szCs w:val="22"/>
              </w:rPr>
              <w:t>”</w:t>
            </w:r>
            <w:r w:rsidR="00DF208B">
              <w:rPr>
                <w:rFonts w:cs="Arial"/>
                <w:szCs w:val="22"/>
              </w:rPr>
              <w:t xml:space="preserve"> </w:t>
            </w:r>
          </w:p>
          <w:p w:rsidR="00DF208B" w:rsidRDefault="00DF208B" w:rsidP="00824846">
            <w:pPr>
              <w:rPr>
                <w:rFonts w:cs="Arial"/>
                <w:szCs w:val="22"/>
              </w:rPr>
            </w:pPr>
          </w:p>
          <w:p w:rsidR="00B34FFD" w:rsidRDefault="009D79CD" w:rsidP="00824846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SPearson</w:t>
            </w:r>
            <w:proofErr w:type="spellEnd"/>
            <w:r>
              <w:rPr>
                <w:rFonts w:cs="Arial"/>
                <w:szCs w:val="22"/>
              </w:rPr>
              <w:t xml:space="preserve"> outlined that this topic was driven from with</w:t>
            </w:r>
            <w:r w:rsidR="00191FE0">
              <w:rPr>
                <w:rFonts w:cs="Arial"/>
                <w:szCs w:val="22"/>
              </w:rPr>
              <w:t>in</w:t>
            </w:r>
            <w:r>
              <w:rPr>
                <w:rFonts w:cs="Arial"/>
                <w:szCs w:val="22"/>
              </w:rPr>
              <w:t xml:space="preserve"> Council membership around </w:t>
            </w:r>
            <w:r w:rsidR="00191FE0">
              <w:rPr>
                <w:rFonts w:cs="Arial"/>
                <w:szCs w:val="22"/>
              </w:rPr>
              <w:t xml:space="preserve">the challenges that impair </w:t>
            </w:r>
            <w:r w:rsidR="00671C5C">
              <w:rPr>
                <w:rFonts w:cs="Arial"/>
                <w:szCs w:val="22"/>
              </w:rPr>
              <w:t>the consistent</w:t>
            </w:r>
            <w:r>
              <w:rPr>
                <w:rFonts w:cs="Arial"/>
                <w:szCs w:val="22"/>
              </w:rPr>
              <w:t xml:space="preserve"> </w:t>
            </w:r>
            <w:r w:rsidR="00191FE0">
              <w:rPr>
                <w:rFonts w:cs="Arial"/>
                <w:szCs w:val="22"/>
              </w:rPr>
              <w:t xml:space="preserve">rollout of </w:t>
            </w:r>
            <w:r>
              <w:rPr>
                <w:rFonts w:cs="Arial"/>
                <w:szCs w:val="22"/>
              </w:rPr>
              <w:t>the National Pathway Guidance</w:t>
            </w:r>
            <w:r w:rsidR="00671C5C">
              <w:rPr>
                <w:rFonts w:cs="Arial"/>
                <w:szCs w:val="22"/>
              </w:rPr>
              <w:t xml:space="preserve"> and</w:t>
            </w:r>
            <w:r w:rsidR="00191FE0">
              <w:rPr>
                <w:rFonts w:cs="Arial"/>
                <w:szCs w:val="22"/>
              </w:rPr>
              <w:t xml:space="preserve"> t</w:t>
            </w:r>
            <w:r>
              <w:rPr>
                <w:rFonts w:cs="Arial"/>
                <w:szCs w:val="22"/>
              </w:rPr>
              <w:t>he need to embrace and implement the guidelines given the challenges</w:t>
            </w:r>
            <w:r w:rsidR="00671C5C">
              <w:rPr>
                <w:rFonts w:cs="Arial"/>
                <w:szCs w:val="22"/>
              </w:rPr>
              <w:t>,</w:t>
            </w:r>
            <w:r w:rsidR="005A7C21">
              <w:rPr>
                <w:rFonts w:cs="Arial"/>
                <w:szCs w:val="22"/>
              </w:rPr>
              <w:t xml:space="preserve"> locally</w:t>
            </w:r>
            <w:r>
              <w:rPr>
                <w:rFonts w:cs="Arial"/>
                <w:szCs w:val="22"/>
              </w:rPr>
              <w:t xml:space="preserve">. What could </w:t>
            </w:r>
            <w:r w:rsidR="005A7C21">
              <w:rPr>
                <w:rFonts w:cs="Arial"/>
                <w:szCs w:val="22"/>
              </w:rPr>
              <w:t>we</w:t>
            </w:r>
            <w:r>
              <w:rPr>
                <w:rFonts w:cs="Arial"/>
                <w:szCs w:val="22"/>
              </w:rPr>
              <w:t xml:space="preserve"> </w:t>
            </w:r>
            <w:r w:rsidR="005A7C21">
              <w:rPr>
                <w:rFonts w:cs="Arial"/>
                <w:szCs w:val="22"/>
              </w:rPr>
              <w:t>recommend</w:t>
            </w:r>
            <w:r>
              <w:rPr>
                <w:rFonts w:cs="Arial"/>
                <w:szCs w:val="22"/>
              </w:rPr>
              <w:t xml:space="preserve"> to Cancer Networks </w:t>
            </w:r>
            <w:r w:rsidR="005A7C21">
              <w:rPr>
                <w:rFonts w:cs="Arial"/>
                <w:szCs w:val="22"/>
              </w:rPr>
              <w:t xml:space="preserve">to </w:t>
            </w:r>
            <w:r>
              <w:rPr>
                <w:rFonts w:cs="Arial"/>
                <w:szCs w:val="22"/>
              </w:rPr>
              <w:t>result in a</w:t>
            </w:r>
            <w:r w:rsidR="00191FE0">
              <w:rPr>
                <w:rFonts w:cs="Arial"/>
                <w:szCs w:val="22"/>
              </w:rPr>
              <w:t xml:space="preserve"> consistent pattern of delivery?</w:t>
            </w:r>
          </w:p>
          <w:p w:rsidR="00B34FFD" w:rsidRDefault="005A7C21" w:rsidP="008248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Input from colleagues across the South West was excellent </w:t>
            </w:r>
            <w:r w:rsidR="00671C5C">
              <w:rPr>
                <w:rFonts w:cs="Arial"/>
                <w:szCs w:val="22"/>
              </w:rPr>
              <w:t xml:space="preserve">prior to the meeting </w:t>
            </w:r>
            <w:r>
              <w:rPr>
                <w:rFonts w:cs="Arial"/>
                <w:szCs w:val="22"/>
              </w:rPr>
              <w:t xml:space="preserve">and a need to discuss the same aspect across other Cancer Pathways became evident but </w:t>
            </w:r>
            <w:r w:rsidR="00671C5C">
              <w:rPr>
                <w:rFonts w:cs="Arial"/>
                <w:szCs w:val="22"/>
              </w:rPr>
              <w:t>imminently</w:t>
            </w:r>
            <w:r>
              <w:rPr>
                <w:rFonts w:cs="Arial"/>
                <w:szCs w:val="22"/>
              </w:rPr>
              <w:t xml:space="preserve"> the focus needed to be in regard to the Colorectal Cancer Pathway.</w:t>
            </w:r>
          </w:p>
          <w:p w:rsidR="00671C5C" w:rsidRDefault="00A85DCB" w:rsidP="0082484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Funding through the Cancer Network to effect changes could facilitate delivery of actual changes. Melanie Feldman ( Colorectal Surgeon)  and Jonathan Miller ( Cancer Alliance) were particularly thanked for their contribution to this meeting</w:t>
            </w:r>
          </w:p>
          <w:p w:rsidR="00F37E77" w:rsidRPr="009503E4" w:rsidRDefault="00F37E77" w:rsidP="0082484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64" w:type="dxa"/>
          </w:tcPr>
          <w:p w:rsidR="00F37E77" w:rsidRDefault="00F37E77" w:rsidP="00066CFF">
            <w:pPr>
              <w:jc w:val="center"/>
              <w:rPr>
                <w:rFonts w:cs="Arial"/>
                <w:b/>
                <w:szCs w:val="22"/>
              </w:rPr>
            </w:pPr>
          </w:p>
          <w:p w:rsidR="00F37E77" w:rsidRDefault="00F37E77" w:rsidP="00066CFF">
            <w:pPr>
              <w:jc w:val="center"/>
              <w:rPr>
                <w:rFonts w:cs="Arial"/>
                <w:b/>
                <w:szCs w:val="22"/>
              </w:rPr>
            </w:pPr>
          </w:p>
          <w:p w:rsidR="00F37E77" w:rsidRDefault="00F37E77" w:rsidP="00066CFF">
            <w:pPr>
              <w:jc w:val="center"/>
              <w:rPr>
                <w:rFonts w:cs="Arial"/>
                <w:b/>
                <w:szCs w:val="22"/>
              </w:rPr>
            </w:pPr>
          </w:p>
          <w:p w:rsidR="00F37E77" w:rsidRPr="00E572BB" w:rsidRDefault="00F37E77" w:rsidP="00066CF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All</w:t>
            </w:r>
          </w:p>
        </w:tc>
      </w:tr>
    </w:tbl>
    <w:p w:rsidR="008E42DB" w:rsidRDefault="008E42DB" w:rsidP="008E42DB"/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9530"/>
        <w:gridCol w:w="659"/>
      </w:tblGrid>
      <w:tr w:rsidR="009503E4" w:rsidRPr="00E572BB" w:rsidTr="00415313">
        <w:tc>
          <w:tcPr>
            <w:tcW w:w="504" w:type="dxa"/>
            <w:tcMar>
              <w:left w:w="28" w:type="dxa"/>
              <w:right w:w="28" w:type="dxa"/>
            </w:tcMar>
          </w:tcPr>
          <w:p w:rsidR="008E42DB" w:rsidRPr="00E572BB" w:rsidRDefault="00343753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2.1</w:t>
            </w:r>
          </w:p>
        </w:tc>
        <w:tc>
          <w:tcPr>
            <w:tcW w:w="9530" w:type="dxa"/>
          </w:tcPr>
          <w:p w:rsidR="008E42DB" w:rsidRPr="00E572BB" w:rsidRDefault="00343753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Colorectal Cancer : New guidelines for a quality service</w:t>
            </w:r>
          </w:p>
        </w:tc>
        <w:tc>
          <w:tcPr>
            <w:tcW w:w="659" w:type="dxa"/>
          </w:tcPr>
          <w:p w:rsidR="008E42DB" w:rsidRPr="00E572BB" w:rsidRDefault="008E42DB" w:rsidP="00343753">
            <w:pPr>
              <w:rPr>
                <w:rFonts w:cs="Arial"/>
                <w:b/>
                <w:szCs w:val="22"/>
              </w:rPr>
            </w:pPr>
          </w:p>
        </w:tc>
      </w:tr>
      <w:tr w:rsidR="009503E4" w:rsidRPr="00E572BB" w:rsidTr="00415313">
        <w:trPr>
          <w:trHeight w:val="581"/>
        </w:trPr>
        <w:tc>
          <w:tcPr>
            <w:tcW w:w="504" w:type="dxa"/>
            <w:tcMar>
              <w:left w:w="28" w:type="dxa"/>
              <w:right w:w="28" w:type="dxa"/>
            </w:tcMar>
          </w:tcPr>
          <w:p w:rsidR="008E42DB" w:rsidRPr="00E572BB" w:rsidRDefault="008E42DB" w:rsidP="00066CF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530" w:type="dxa"/>
          </w:tcPr>
          <w:p w:rsidR="00F000A3" w:rsidRDefault="00343753" w:rsidP="000C19A2">
            <w:pPr>
              <w:rPr>
                <w:rFonts w:cs="Arial"/>
                <w:szCs w:val="22"/>
              </w:rPr>
            </w:pPr>
            <w:proofErr w:type="spellStart"/>
            <w:r w:rsidRPr="00A07AC0">
              <w:rPr>
                <w:rFonts w:cs="Arial"/>
                <w:szCs w:val="22"/>
              </w:rPr>
              <w:t>MFeldman</w:t>
            </w:r>
            <w:proofErr w:type="spellEnd"/>
            <w:r w:rsidR="00A07AC0" w:rsidRPr="00A07AC0">
              <w:rPr>
                <w:rFonts w:cs="Arial"/>
                <w:szCs w:val="22"/>
              </w:rPr>
              <w:t xml:space="preserve"> presented</w:t>
            </w:r>
            <w:r w:rsidR="00A07AC0">
              <w:rPr>
                <w:rFonts w:cs="Arial"/>
                <w:szCs w:val="22"/>
              </w:rPr>
              <w:t xml:space="preserve"> under the above title.</w:t>
            </w:r>
          </w:p>
          <w:p w:rsidR="00A07AC0" w:rsidRDefault="00A07AC0" w:rsidP="000C19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Affecting change within your own Trust is challenging enough let alone regionally.</w:t>
            </w:r>
          </w:p>
          <w:p w:rsidR="00A07AC0" w:rsidRDefault="00A07AC0" w:rsidP="000C19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Current ‘picture’ of Colorectal Cancer outcomes </w:t>
            </w:r>
            <w:r w:rsidR="000D16DB">
              <w:rPr>
                <w:rFonts w:cs="Arial"/>
                <w:szCs w:val="22"/>
              </w:rPr>
              <w:t xml:space="preserve">for UK </w:t>
            </w:r>
            <w:r>
              <w:rPr>
                <w:rFonts w:cs="Arial"/>
                <w:szCs w:val="22"/>
              </w:rPr>
              <w:t>appear good but</w:t>
            </w:r>
            <w:r w:rsidR="000D16DB">
              <w:rPr>
                <w:rFonts w:cs="Arial"/>
                <w:szCs w:val="22"/>
              </w:rPr>
              <w:t xml:space="preserve"> are lower</w:t>
            </w:r>
            <w:r>
              <w:rPr>
                <w:rFonts w:cs="Arial"/>
                <w:szCs w:val="22"/>
              </w:rPr>
              <w:t xml:space="preserve"> in comparison with other international </w:t>
            </w:r>
            <w:r w:rsidR="008806D3">
              <w:rPr>
                <w:rFonts w:cs="Arial"/>
                <w:szCs w:val="22"/>
              </w:rPr>
              <w:t>net survival outcomes</w:t>
            </w:r>
            <w:r w:rsidR="000D16DB">
              <w:rPr>
                <w:rFonts w:cs="Arial"/>
                <w:szCs w:val="22"/>
              </w:rPr>
              <w:t xml:space="preserve"> for e.g. </w:t>
            </w:r>
            <w:r>
              <w:rPr>
                <w:rFonts w:cs="Arial"/>
                <w:szCs w:val="22"/>
              </w:rPr>
              <w:t>Europe and</w:t>
            </w:r>
            <w:r w:rsidR="008806D3">
              <w:rPr>
                <w:rFonts w:cs="Arial"/>
                <w:szCs w:val="22"/>
              </w:rPr>
              <w:t xml:space="preserve"> up to 15%</w:t>
            </w:r>
            <w:r>
              <w:rPr>
                <w:rFonts w:cs="Arial"/>
                <w:szCs w:val="22"/>
              </w:rPr>
              <w:t xml:space="preserve"> </w:t>
            </w:r>
            <w:r w:rsidR="000D16DB">
              <w:rPr>
                <w:rFonts w:cs="Arial"/>
                <w:szCs w:val="22"/>
              </w:rPr>
              <w:t xml:space="preserve">less net survival in the UK than </w:t>
            </w:r>
            <w:r>
              <w:rPr>
                <w:rFonts w:cs="Arial"/>
                <w:szCs w:val="22"/>
              </w:rPr>
              <w:t>Austra</w:t>
            </w:r>
            <w:r w:rsidR="000D16DB">
              <w:rPr>
                <w:rFonts w:cs="Arial"/>
                <w:szCs w:val="22"/>
              </w:rPr>
              <w:t xml:space="preserve">lia. The </w:t>
            </w:r>
            <w:proofErr w:type="gramStart"/>
            <w:r w:rsidR="000D16DB">
              <w:rPr>
                <w:rFonts w:cs="Arial"/>
                <w:szCs w:val="22"/>
              </w:rPr>
              <w:t>difference in outcomes are</w:t>
            </w:r>
            <w:proofErr w:type="gramEnd"/>
            <w:r w:rsidR="000D16DB">
              <w:rPr>
                <w:rFonts w:cs="Arial"/>
                <w:szCs w:val="22"/>
              </w:rPr>
              <w:t xml:space="preserve"> most likely due to late presentation.</w:t>
            </w:r>
          </w:p>
          <w:p w:rsidR="000D16DB" w:rsidRDefault="000D16DB" w:rsidP="000C19A2">
            <w:pPr>
              <w:rPr>
                <w:rFonts w:cs="Arial"/>
                <w:szCs w:val="22"/>
              </w:rPr>
            </w:pPr>
          </w:p>
          <w:p w:rsidR="00A07AC0" w:rsidRDefault="008806D3" w:rsidP="000C19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Need for early diagnosis leads in the initial affecting of changed outcomes. Supported by more screening at a lower threshold of presenting symptoms.</w:t>
            </w:r>
            <w:r w:rsidR="000D16DB">
              <w:rPr>
                <w:rFonts w:cs="Arial"/>
                <w:szCs w:val="22"/>
              </w:rPr>
              <w:t xml:space="preserve"> In England there is an increased rate of emergency presentation with </w:t>
            </w:r>
            <w:r w:rsidR="000D16DB" w:rsidRPr="000D16DB">
              <w:rPr>
                <w:rFonts w:cs="Arial"/>
                <w:szCs w:val="22"/>
              </w:rPr>
              <w:t>about 24% of patients diagnosed following admission via Accident and Emergency (A&amp;E) departments. More than half these patients have late stage disease.</w:t>
            </w:r>
          </w:p>
          <w:p w:rsidR="000D16DB" w:rsidRPr="000D16DB" w:rsidRDefault="000D16DB" w:rsidP="000D16DB">
            <w:pPr>
              <w:rPr>
                <w:rFonts w:cs="Arial"/>
                <w:szCs w:val="22"/>
              </w:rPr>
            </w:pPr>
            <w:r w:rsidRPr="000D16DB">
              <w:rPr>
                <w:rFonts w:cs="Arial"/>
                <w:szCs w:val="22"/>
              </w:rPr>
              <w:t>Achieving earlier diagnosis will require improvements in participation in screening by:</w:t>
            </w:r>
          </w:p>
          <w:p w:rsidR="000D16DB" w:rsidRPr="000D16DB" w:rsidRDefault="000D16DB" w:rsidP="000D16DB">
            <w:pPr>
              <w:pStyle w:val="ListParagraph"/>
              <w:numPr>
                <w:ilvl w:val="0"/>
                <w:numId w:val="6"/>
              </w:numPr>
            </w:pPr>
            <w:r w:rsidRPr="000D16DB">
              <w:t>harnessing the ability of GPs to promote increased uptake of the National Bowel Cancer Screening Programme (NBCSP)</w:t>
            </w:r>
          </w:p>
          <w:p w:rsidR="000D16DB" w:rsidRPr="000D16DB" w:rsidRDefault="000D16DB" w:rsidP="000D16DB">
            <w:pPr>
              <w:pStyle w:val="ListParagraph"/>
              <w:numPr>
                <w:ilvl w:val="0"/>
                <w:numId w:val="6"/>
              </w:numPr>
            </w:pPr>
            <w:r w:rsidRPr="000D16DB">
              <w:t>a lower threshold for referral for investigating patients with colorectal symptoms</w:t>
            </w:r>
          </w:p>
          <w:p w:rsidR="000D16DB" w:rsidRDefault="000D16DB" w:rsidP="000D16DB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0D16DB">
              <w:t>expanding</w:t>
            </w:r>
            <w:proofErr w:type="gramEnd"/>
            <w:r w:rsidRPr="000D16DB">
              <w:t xml:space="preserve"> and making better use of diagnostic capacity.</w:t>
            </w:r>
          </w:p>
          <w:p w:rsidR="009C00E4" w:rsidRDefault="009C00E4" w:rsidP="009C00E4">
            <w:r>
              <w:t>The aim of the bowel cancer service should be to: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prevent</w:t>
            </w:r>
            <w:proofErr w:type="gramEnd"/>
            <w:r>
              <w:t xml:space="preserve"> people from dying from bowel cancer; achieved best by early diagnosis.  Where this is not possible, extend their lives. 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r>
              <w:t xml:space="preserve">Maintain the quality of life for people diagnosed with bowel cancer 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r>
              <w:t xml:space="preserve">Deliver access to the best available treatments for all patients. 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r>
              <w:t xml:space="preserve">Treat people safely and protect them from avoidable harm  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r>
              <w:t xml:space="preserve">Help patients recover from bowel cancer related illness and side effects of treatment </w:t>
            </w:r>
          </w:p>
          <w:p w:rsidR="009C00E4" w:rsidRDefault="009C00E4" w:rsidP="009C00E4">
            <w:pPr>
              <w:pStyle w:val="ListParagraph"/>
              <w:numPr>
                <w:ilvl w:val="0"/>
                <w:numId w:val="8"/>
              </w:numPr>
            </w:pPr>
            <w:r>
              <w:t>Deliver a positive experience of treatment and care for patients and carers – CNS support</w:t>
            </w:r>
            <w:r w:rsidR="00EE5355">
              <w:t>.</w:t>
            </w:r>
          </w:p>
          <w:p w:rsidR="00EE5355" w:rsidRDefault="00EE5355" w:rsidP="00EE5355">
            <w:r>
              <w:t>This is particularly difficult to deliver in the SW in part due to the large geographical spread.</w:t>
            </w:r>
          </w:p>
          <w:p w:rsidR="00EE5355" w:rsidRDefault="00EE5355" w:rsidP="00EE5355"/>
          <w:p w:rsidR="00EE5355" w:rsidRDefault="00EE5355" w:rsidP="00EE5355">
            <w:r>
              <w:t xml:space="preserve"> In 2011 85% of patients were hitting the target of 62 days from entry into the system to undergoing relevant</w:t>
            </w:r>
            <w:r w:rsidR="005E0A8E">
              <w:t xml:space="preserve"> treatment; b</w:t>
            </w:r>
            <w:r>
              <w:t>etween then and 2018/19 less than 85% were hitting that same target and it has been a continuing downward trajectory.</w:t>
            </w:r>
          </w:p>
          <w:p w:rsidR="00821FB3" w:rsidRDefault="00821FB3" w:rsidP="00821FB3">
            <w:r>
              <w:t xml:space="preserve">NICE guideline NG12 is introduced in 2015 </w:t>
            </w:r>
            <w:proofErr w:type="gramStart"/>
            <w:r>
              <w:t>( 2016</w:t>
            </w:r>
            <w:proofErr w:type="gramEnd"/>
            <w:r>
              <w:t xml:space="preserve"> in South West). </w:t>
            </w:r>
          </w:p>
          <w:p w:rsidR="00821FB3" w:rsidRDefault="00821FB3" w:rsidP="00821FB3"/>
          <w:p w:rsidR="00821FB3" w:rsidRDefault="00821FB3" w:rsidP="00821FB3">
            <w:pPr>
              <w:pStyle w:val="ListParagraph"/>
              <w:numPr>
                <w:ilvl w:val="0"/>
                <w:numId w:val="9"/>
              </w:numPr>
            </w:pPr>
            <w:r>
              <w:t>Categories for 2WW</w:t>
            </w:r>
            <w:r w:rsidR="008C6AB7">
              <w:t xml:space="preserve"> (</w:t>
            </w:r>
            <w:r w:rsidR="000D431E">
              <w:t xml:space="preserve">Cancer Referral </w:t>
            </w:r>
            <w:r w:rsidR="007A0D6E">
              <w:t xml:space="preserve">to Treatment Plan </w:t>
            </w:r>
            <w:r w:rsidR="000D431E">
              <w:t xml:space="preserve">Protocol </w:t>
            </w:r>
            <w:r w:rsidR="007A0D6E">
              <w:t>-</w:t>
            </w:r>
            <w:r w:rsidR="000D431E">
              <w:t>T</w:t>
            </w:r>
            <w:r w:rsidR="008C6AB7">
              <w:t xml:space="preserve">wo </w:t>
            </w:r>
            <w:r w:rsidR="000D431E">
              <w:t>W</w:t>
            </w:r>
            <w:r w:rsidR="008C6AB7">
              <w:t xml:space="preserve">eek </w:t>
            </w:r>
            <w:r w:rsidR="000D431E">
              <w:t>W</w:t>
            </w:r>
            <w:r w:rsidR="008C6AB7">
              <w:t>ait)</w:t>
            </w:r>
            <w:r>
              <w:t xml:space="preserve"> made wider</w:t>
            </w:r>
          </w:p>
          <w:p w:rsidR="00821FB3" w:rsidRDefault="00821FB3" w:rsidP="00821FB3">
            <w:pPr>
              <w:pStyle w:val="ListParagraph"/>
              <w:numPr>
                <w:ilvl w:val="0"/>
                <w:numId w:val="9"/>
              </w:numPr>
            </w:pPr>
            <w:r>
              <w:t xml:space="preserve">Aim to investigate more people </w:t>
            </w:r>
          </w:p>
          <w:p w:rsidR="00821FB3" w:rsidRDefault="00821FB3" w:rsidP="00821FB3">
            <w:pPr>
              <w:pStyle w:val="ListParagraph"/>
              <w:numPr>
                <w:ilvl w:val="0"/>
                <w:numId w:val="9"/>
              </w:numPr>
            </w:pPr>
            <w:r>
              <w:t>Estimated cancer rate 3%</w:t>
            </w:r>
          </w:p>
          <w:p w:rsidR="00821FB3" w:rsidRDefault="00821FB3" w:rsidP="00821FB3">
            <w:pPr>
              <w:pStyle w:val="ListParagraph"/>
              <w:numPr>
                <w:ilvl w:val="0"/>
                <w:numId w:val="9"/>
              </w:numPr>
            </w:pPr>
            <w:r>
              <w:t>Previously 9-11%</w:t>
            </w:r>
          </w:p>
          <w:p w:rsidR="00821FB3" w:rsidRDefault="00821FB3" w:rsidP="00821FB3"/>
          <w:p w:rsidR="00821FB3" w:rsidRDefault="00821FB3" w:rsidP="00821FB3">
            <w:pPr>
              <w:pStyle w:val="ListParagraph"/>
              <w:numPr>
                <w:ilvl w:val="0"/>
                <w:numId w:val="9"/>
              </w:numPr>
            </w:pPr>
            <w:r>
              <w:t>Included an area ‘low risk but not no risk’ – DG30 followed on 2017</w:t>
            </w:r>
          </w:p>
          <w:p w:rsidR="00821FB3" w:rsidRDefault="005E0A8E" w:rsidP="00821FB3">
            <w:pPr>
              <w:ind w:left="-57"/>
            </w:pPr>
            <w:r>
              <w:t xml:space="preserve">             </w:t>
            </w:r>
            <w:r w:rsidR="00821FB3">
              <w:t>FIT testing for additional lower risk group, +FIT &gt; 2WW</w:t>
            </w:r>
          </w:p>
          <w:p w:rsidR="007A0D6E" w:rsidRPr="000D16DB" w:rsidRDefault="007A0D6E" w:rsidP="00821FB3">
            <w:pPr>
              <w:ind w:left="-57"/>
            </w:pPr>
          </w:p>
          <w:p w:rsidR="00A07AC0" w:rsidRDefault="005E0A8E" w:rsidP="000C19A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effec</w:t>
            </w:r>
            <w:r w:rsidR="007A0D6E">
              <w:rPr>
                <w:rFonts w:cs="Arial"/>
                <w:szCs w:val="22"/>
              </w:rPr>
              <w:t>t of these on the system is increased access e.g. for Royal Cornwall Hospital NHS Foundation Trust it created the outcomes of:</w:t>
            </w:r>
          </w:p>
          <w:p w:rsidR="007A0D6E" w:rsidRDefault="007A0D6E" w:rsidP="000C19A2">
            <w:pPr>
              <w:rPr>
                <w:rFonts w:cs="Arial"/>
                <w:szCs w:val="22"/>
              </w:rPr>
            </w:pPr>
          </w:p>
          <w:p w:rsidR="007A0D6E" w:rsidRPr="007A0D6E" w:rsidRDefault="007A0D6E" w:rsidP="007A0D6E">
            <w:pPr>
              <w:pStyle w:val="ListParagraph"/>
              <w:numPr>
                <w:ilvl w:val="0"/>
                <w:numId w:val="10"/>
              </w:numPr>
            </w:pPr>
            <w:r w:rsidRPr="007A0D6E">
              <w:t>2016/17 a SW Trust overspend endoscopy in overtime/outsourcing  &gt; £250k</w:t>
            </w:r>
          </w:p>
          <w:p w:rsidR="007A0D6E" w:rsidRPr="007A0D6E" w:rsidRDefault="007A0D6E" w:rsidP="007A0D6E">
            <w:pPr>
              <w:pStyle w:val="ListParagraph"/>
              <w:numPr>
                <w:ilvl w:val="0"/>
                <w:numId w:val="10"/>
              </w:numPr>
            </w:pPr>
            <w:r w:rsidRPr="007A0D6E">
              <w:lastRenderedPageBreak/>
              <w:t>2017/18 financial constraints, only timetabled activity</w:t>
            </w:r>
          </w:p>
          <w:p w:rsidR="007A0D6E" w:rsidRDefault="007A0D6E" w:rsidP="007A0D6E">
            <w:pPr>
              <w:rPr>
                <w:rFonts w:cs="Arial"/>
                <w:szCs w:val="22"/>
              </w:rPr>
            </w:pPr>
          </w:p>
          <w:p w:rsidR="007A0D6E" w:rsidRPr="007A0D6E" w:rsidRDefault="007A0D6E" w:rsidP="007A0D6E">
            <w:pPr>
              <w:rPr>
                <w:rFonts w:cs="Arial"/>
                <w:szCs w:val="22"/>
              </w:rPr>
            </w:pPr>
            <w:r w:rsidRPr="007A0D6E">
              <w:rPr>
                <w:rFonts w:cs="Arial"/>
                <w:szCs w:val="22"/>
              </w:rPr>
              <w:t>By April 2018 :</w:t>
            </w:r>
          </w:p>
          <w:p w:rsidR="007A0D6E" w:rsidRPr="007A0D6E" w:rsidRDefault="007A0D6E" w:rsidP="007A0D6E">
            <w:pPr>
              <w:pStyle w:val="ListParagraph"/>
              <w:numPr>
                <w:ilvl w:val="0"/>
                <w:numId w:val="12"/>
              </w:numPr>
            </w:pPr>
            <w:r w:rsidRPr="007A0D6E">
              <w:t>routine wait 30 weeks</w:t>
            </w:r>
          </w:p>
          <w:p w:rsidR="007A0D6E" w:rsidRPr="007A0D6E" w:rsidRDefault="007A0D6E" w:rsidP="007A0D6E">
            <w:pPr>
              <w:pStyle w:val="ListParagraph"/>
              <w:numPr>
                <w:ilvl w:val="0"/>
                <w:numId w:val="12"/>
              </w:numPr>
            </w:pPr>
            <w:r w:rsidRPr="007A0D6E">
              <w:t>2WW wait 7 weeks</w:t>
            </w:r>
          </w:p>
          <w:p w:rsidR="007A0D6E" w:rsidRPr="007A0D6E" w:rsidRDefault="007A0D6E" w:rsidP="007A0D6E">
            <w:pPr>
              <w:pStyle w:val="ListParagraph"/>
              <w:numPr>
                <w:ilvl w:val="0"/>
                <w:numId w:val="12"/>
              </w:numPr>
            </w:pPr>
            <w:r w:rsidRPr="007A0D6E">
              <w:t>Surveillance 9 months later</w:t>
            </w:r>
          </w:p>
          <w:p w:rsidR="007A0D6E" w:rsidRDefault="007A0D6E" w:rsidP="007A0D6E">
            <w:pPr>
              <w:pStyle w:val="ListParagraph"/>
              <w:numPr>
                <w:ilvl w:val="0"/>
                <w:numId w:val="12"/>
              </w:numPr>
            </w:pPr>
            <w:r w:rsidRPr="007A0D6E">
              <w:t>Catch-up 2018 312 sessions £312k</w:t>
            </w:r>
          </w:p>
          <w:p w:rsidR="00EB1D60" w:rsidRDefault="00EB1D60" w:rsidP="00EB1D60">
            <w:r>
              <w:t>This against a background of finite resources and ensuring that additional funding m</w:t>
            </w:r>
            <w:r w:rsidRPr="00EB1D60">
              <w:t>ust not worsen one area of the service in order to improve another.</w:t>
            </w:r>
          </w:p>
          <w:p w:rsidR="007A0D6E" w:rsidRDefault="00E33FB8" w:rsidP="007A0D6E">
            <w:r>
              <w:t>Against this background MF is looking to the Senate Council to help define improvements.</w:t>
            </w:r>
          </w:p>
          <w:p w:rsidR="00E33FB8" w:rsidRDefault="00E33FB8" w:rsidP="007A0D6E"/>
          <w:p w:rsidR="00E33FB8" w:rsidRDefault="00E33FB8" w:rsidP="007A0D6E">
            <w:r>
              <w:t xml:space="preserve">A further breakdown of the 15% difference in survival rate that is the case in Europe and Australia reveals in the UK that a third of that is due to lack of pre diagnosis, a third because more patients in the UK do not present until </w:t>
            </w:r>
            <w:proofErr w:type="spellStart"/>
            <w:r>
              <w:t>symptons</w:t>
            </w:r>
            <w:proofErr w:type="spellEnd"/>
            <w:r>
              <w:t xml:space="preserve"> mean they present to Emergency </w:t>
            </w:r>
            <w:proofErr w:type="gramStart"/>
            <w:r>
              <w:t>Services  and</w:t>
            </w:r>
            <w:proofErr w:type="gramEnd"/>
            <w:r>
              <w:t xml:space="preserve"> a third present as urgent outpatient referrals.</w:t>
            </w:r>
          </w:p>
          <w:p w:rsidR="003E3048" w:rsidRDefault="003E3048" w:rsidP="007A0D6E"/>
          <w:p w:rsidR="00E1354A" w:rsidRDefault="003E3048" w:rsidP="007A0D6E">
            <w:proofErr w:type="spellStart"/>
            <w:r>
              <w:t>JMiller</w:t>
            </w:r>
            <w:proofErr w:type="spellEnd"/>
            <w:r>
              <w:t xml:space="preserve"> </w:t>
            </w:r>
            <w:r w:rsidR="00FF0D78">
              <w:t xml:space="preserve"> ( South West Cancer Alliance Lead)</w:t>
            </w:r>
            <w:r w:rsidR="00412B0B">
              <w:t xml:space="preserve"> </w:t>
            </w:r>
            <w:r w:rsidR="00412B0B" w:rsidRPr="00412B0B">
              <w:br/>
            </w:r>
            <w:r w:rsidR="00E1354A" w:rsidRPr="00E1354A">
              <w:t>Colorectal Cancer</w:t>
            </w:r>
            <w:r w:rsidR="00E1354A">
              <w:t xml:space="preserve">: </w:t>
            </w:r>
            <w:r w:rsidR="00E1354A" w:rsidRPr="00E1354A">
              <w:t>Cancer Alliance Work</w:t>
            </w:r>
            <w:r w:rsidR="00E1354A">
              <w:t xml:space="preserve"> </w:t>
            </w:r>
            <w:r w:rsidR="00412B0B" w:rsidRPr="00412B0B">
              <w:t>Cancer Alliance Work</w:t>
            </w:r>
          </w:p>
          <w:p w:rsidR="003E3048" w:rsidRPr="007A0D6E" w:rsidRDefault="00E1354A" w:rsidP="007A0D6E">
            <w:r>
              <w:t xml:space="preserve">JM </w:t>
            </w:r>
            <w:r w:rsidR="00412B0B">
              <w:t xml:space="preserve">continued to </w:t>
            </w:r>
            <w:r w:rsidR="006D1B8B">
              <w:t>‘</w:t>
            </w:r>
            <w:r w:rsidR="00412B0B">
              <w:t>set the scene</w:t>
            </w:r>
            <w:r w:rsidR="006D1B8B">
              <w:t>’</w:t>
            </w:r>
            <w:r>
              <w:t xml:space="preserve"> in the South West emphasising that </w:t>
            </w:r>
            <w:r w:rsidR="003E3048">
              <w:t xml:space="preserve">‘stage’ intervention is a key difference in treatment in affecting the outcome. Educating people to be more self -ware and present themselves earlier in the disease; which is the trend in Europe </w:t>
            </w:r>
            <w:proofErr w:type="gramStart"/>
            <w:r w:rsidR="003E3048">
              <w:t xml:space="preserve">and </w:t>
            </w:r>
            <w:r w:rsidR="00FF0D78">
              <w:t xml:space="preserve"> </w:t>
            </w:r>
            <w:r w:rsidR="003E3048">
              <w:t>Australia</w:t>
            </w:r>
            <w:proofErr w:type="gramEnd"/>
            <w:r w:rsidR="003E3048">
              <w:t xml:space="preserve">. </w:t>
            </w:r>
          </w:p>
          <w:p w:rsidR="00A07AC0" w:rsidRDefault="003E3048" w:rsidP="003E304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For example removal of polyps is a very </w:t>
            </w:r>
            <w:proofErr w:type="gramStart"/>
            <w:r>
              <w:rPr>
                <w:rFonts w:cs="Arial"/>
                <w:szCs w:val="22"/>
              </w:rPr>
              <w:t>effective  early</w:t>
            </w:r>
            <w:proofErr w:type="gramEnd"/>
            <w:r>
              <w:rPr>
                <w:rFonts w:cs="Arial"/>
                <w:szCs w:val="22"/>
              </w:rPr>
              <w:t xml:space="preserve"> intervention to prevent the patient from going on to develop colorectal cancer.</w:t>
            </w:r>
          </w:p>
          <w:p w:rsidR="00C704C5" w:rsidRDefault="00C704C5" w:rsidP="003E3048">
            <w:pPr>
              <w:rPr>
                <w:rFonts w:cs="Arial"/>
                <w:szCs w:val="22"/>
              </w:rPr>
            </w:pPr>
          </w:p>
          <w:p w:rsidR="00C704C5" w:rsidRDefault="00412B0B" w:rsidP="00C704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Pr="00412B0B">
              <w:rPr>
                <w:rFonts w:cs="Arial"/>
                <w:szCs w:val="22"/>
              </w:rPr>
              <w:t>ince 2016</w:t>
            </w:r>
            <w:r>
              <w:rPr>
                <w:rFonts w:cs="Arial"/>
                <w:szCs w:val="22"/>
              </w:rPr>
              <w:t>,</w:t>
            </w:r>
            <w:r w:rsidR="00C704C5">
              <w:rPr>
                <w:rFonts w:cs="Arial"/>
                <w:szCs w:val="22"/>
              </w:rPr>
              <w:t xml:space="preserve"> Royal Cornwall Hospital Trust</w:t>
            </w:r>
            <w:r>
              <w:rPr>
                <w:rFonts w:cs="Arial"/>
                <w:szCs w:val="22"/>
              </w:rPr>
              <w:t xml:space="preserve"> has seen</w:t>
            </w:r>
            <w:r w:rsidR="00C704C5">
              <w:rPr>
                <w:rFonts w:cs="Arial"/>
                <w:szCs w:val="22"/>
              </w:rPr>
              <w:t xml:space="preserve"> the percentage of patients being seen under the NG12</w:t>
            </w:r>
            <w:r>
              <w:rPr>
                <w:rFonts w:cs="Arial"/>
                <w:szCs w:val="22"/>
              </w:rPr>
              <w:t xml:space="preserve"> protocol</w:t>
            </w:r>
            <w:r w:rsidR="00C704C5">
              <w:rPr>
                <w:rFonts w:cs="Arial"/>
                <w:szCs w:val="22"/>
              </w:rPr>
              <w:t xml:space="preserve"> increase by over 50% however the workload to achieve that is at 200% and even so the conversion rate </w:t>
            </w:r>
            <w:r>
              <w:rPr>
                <w:rFonts w:cs="Arial"/>
                <w:szCs w:val="22"/>
              </w:rPr>
              <w:t>is yet to</w:t>
            </w:r>
            <w:r w:rsidR="00C704C5">
              <w:rPr>
                <w:rFonts w:cs="Arial"/>
                <w:szCs w:val="22"/>
              </w:rPr>
              <w:t xml:space="preserve"> translate into driving down the e</w:t>
            </w:r>
            <w:r w:rsidR="00C704C5" w:rsidRPr="00C704C5">
              <w:rPr>
                <w:rFonts w:cs="Arial"/>
                <w:szCs w:val="22"/>
              </w:rPr>
              <w:t xml:space="preserve">stimated cancer rate </w:t>
            </w:r>
            <w:r w:rsidR="00C704C5">
              <w:rPr>
                <w:rFonts w:cs="Arial"/>
                <w:szCs w:val="22"/>
              </w:rPr>
              <w:t xml:space="preserve">to </w:t>
            </w:r>
            <w:r w:rsidR="00C704C5" w:rsidRPr="00C704C5">
              <w:rPr>
                <w:rFonts w:cs="Arial"/>
                <w:szCs w:val="22"/>
              </w:rPr>
              <w:t>3%</w:t>
            </w:r>
            <w:r w:rsidR="00C704C5">
              <w:rPr>
                <w:rFonts w:cs="Arial"/>
                <w:szCs w:val="22"/>
              </w:rPr>
              <w:t>.</w:t>
            </w:r>
          </w:p>
          <w:p w:rsidR="006D1B8B" w:rsidRDefault="006D1B8B" w:rsidP="00C704C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Nationally the picture </w:t>
            </w:r>
            <w:r w:rsidRPr="006D1B8B">
              <w:rPr>
                <w:rFonts w:cs="Arial"/>
                <w:szCs w:val="22"/>
              </w:rPr>
              <w:t>is more patien</w:t>
            </w:r>
            <w:r>
              <w:rPr>
                <w:rFonts w:cs="Arial"/>
                <w:szCs w:val="22"/>
              </w:rPr>
              <w:t>ts are being seen and within</w:t>
            </w:r>
            <w:r w:rsidRPr="006D1B8B">
              <w:rPr>
                <w:rFonts w:cs="Arial"/>
                <w:szCs w:val="22"/>
              </w:rPr>
              <w:t xml:space="preserve"> 62 day</w:t>
            </w:r>
            <w:r>
              <w:rPr>
                <w:rFonts w:cs="Arial"/>
                <w:szCs w:val="22"/>
              </w:rPr>
              <w:t>s however in the South West he population is an older, frailer patient presenting for treatment</w:t>
            </w:r>
            <w:proofErr w:type="gramStart"/>
            <w:r>
              <w:rPr>
                <w:rFonts w:cs="Arial"/>
                <w:szCs w:val="22"/>
              </w:rPr>
              <w:t>..</w:t>
            </w:r>
            <w:proofErr w:type="gramEnd"/>
          </w:p>
          <w:p w:rsidR="006D1B8B" w:rsidRDefault="006D1B8B" w:rsidP="00C704C5">
            <w:pPr>
              <w:rPr>
                <w:rFonts w:cs="Arial"/>
                <w:szCs w:val="22"/>
              </w:rPr>
            </w:pPr>
          </w:p>
          <w:p w:rsidR="006D1B8B" w:rsidRPr="006D1B8B" w:rsidRDefault="006D1B8B" w:rsidP="006D1B8B">
            <w:pPr>
              <w:rPr>
                <w:rFonts w:cs="Arial"/>
                <w:szCs w:val="22"/>
              </w:rPr>
            </w:pPr>
            <w:r w:rsidRPr="006D1B8B">
              <w:rPr>
                <w:rFonts w:cs="Arial"/>
                <w:szCs w:val="22"/>
              </w:rPr>
              <w:t>NICE Guidelines on Suspected Cancer published June 2015</w:t>
            </w:r>
          </w:p>
          <w:p w:rsidR="008835AE" w:rsidRDefault="006D1B8B" w:rsidP="008835AE">
            <w:pPr>
              <w:rPr>
                <w:rFonts w:cs="Arial"/>
                <w:szCs w:val="22"/>
              </w:rPr>
            </w:pPr>
            <w:r w:rsidRPr="006D1B8B">
              <w:rPr>
                <w:rFonts w:cs="Arial"/>
                <w:szCs w:val="22"/>
              </w:rPr>
              <w:t>Referral forms revised to match new criteria</w:t>
            </w:r>
            <w:r>
              <w:rPr>
                <w:rFonts w:cs="Arial"/>
                <w:szCs w:val="22"/>
              </w:rPr>
              <w:t xml:space="preserve"> with a f</w:t>
            </w:r>
            <w:r w:rsidRPr="006D1B8B">
              <w:rPr>
                <w:rFonts w:cs="Arial"/>
                <w:szCs w:val="22"/>
              </w:rPr>
              <w:t>ocus on increasing direct access for GPs to tests</w:t>
            </w:r>
            <w:r w:rsidR="008835AE">
              <w:rPr>
                <w:rFonts w:cs="Arial"/>
                <w:szCs w:val="22"/>
              </w:rPr>
              <w:t>-</w:t>
            </w:r>
            <w:r w:rsidR="008835AE" w:rsidRPr="008835AE">
              <w:rPr>
                <w:rFonts w:cs="Arial"/>
                <w:szCs w:val="22"/>
              </w:rPr>
              <w:t xml:space="preserve">Guaiac test </w:t>
            </w:r>
            <w:r w:rsidR="008835AE">
              <w:rPr>
                <w:rFonts w:cs="Arial"/>
                <w:szCs w:val="22"/>
              </w:rPr>
              <w:t>(</w:t>
            </w:r>
            <w:r w:rsidRPr="006D1B8B">
              <w:rPr>
                <w:rFonts w:cs="Arial"/>
                <w:szCs w:val="22"/>
              </w:rPr>
              <w:t>faecal occult blood testing</w:t>
            </w:r>
            <w:r w:rsidR="008835AE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>.</w:t>
            </w:r>
          </w:p>
          <w:p w:rsidR="008835AE" w:rsidRPr="008835AE" w:rsidRDefault="008835AE" w:rsidP="008835A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However this </w:t>
            </w:r>
            <w:r w:rsidRPr="008835AE">
              <w:rPr>
                <w:rFonts w:cs="Arial"/>
                <w:szCs w:val="22"/>
              </w:rPr>
              <w:t>was decommissioned as it was deemed poor quality. So no way for GPs to use this NICE recommendation locally</w:t>
            </w:r>
            <w:r>
              <w:rPr>
                <w:rFonts w:cs="Arial"/>
                <w:szCs w:val="22"/>
              </w:rPr>
              <w:t xml:space="preserve">. Then the </w:t>
            </w:r>
            <w:r w:rsidRPr="008835AE">
              <w:rPr>
                <w:rFonts w:cs="Arial"/>
                <w:szCs w:val="22"/>
              </w:rPr>
              <w:t xml:space="preserve">quality of new test Faecal </w:t>
            </w:r>
            <w:proofErr w:type="spellStart"/>
            <w:r w:rsidRPr="008835AE">
              <w:rPr>
                <w:rFonts w:cs="Arial"/>
                <w:szCs w:val="22"/>
              </w:rPr>
              <w:t>Immunohistochemica</w:t>
            </w:r>
            <w:r>
              <w:rPr>
                <w:rFonts w:cs="Arial"/>
                <w:szCs w:val="22"/>
              </w:rPr>
              <w:t>l</w:t>
            </w:r>
            <w:proofErr w:type="spellEnd"/>
            <w:r>
              <w:rPr>
                <w:rFonts w:cs="Arial"/>
                <w:szCs w:val="22"/>
              </w:rPr>
              <w:t xml:space="preserve"> Test – FIT began to emerge, providing a m</w:t>
            </w:r>
            <w:r w:rsidRPr="008835AE">
              <w:rPr>
                <w:rFonts w:cs="Arial"/>
                <w:szCs w:val="22"/>
              </w:rPr>
              <w:t>ore specific and sensitive</w:t>
            </w:r>
            <w:r>
              <w:rPr>
                <w:rFonts w:cs="Arial"/>
                <w:szCs w:val="22"/>
              </w:rPr>
              <w:t xml:space="preserve"> test</w:t>
            </w:r>
          </w:p>
          <w:p w:rsidR="008835AE" w:rsidRPr="008835AE" w:rsidRDefault="008835AE" w:rsidP="008835AE">
            <w:pPr>
              <w:rPr>
                <w:rFonts w:cs="Arial"/>
                <w:szCs w:val="22"/>
              </w:rPr>
            </w:pPr>
            <w:r w:rsidRPr="008835AE">
              <w:rPr>
                <w:rFonts w:cs="Arial"/>
                <w:szCs w:val="22"/>
              </w:rPr>
              <w:t>Quantitative result (rather than plain +</w:t>
            </w:r>
            <w:proofErr w:type="spellStart"/>
            <w:r w:rsidRPr="008835AE">
              <w:rPr>
                <w:rFonts w:cs="Arial"/>
                <w:szCs w:val="22"/>
              </w:rPr>
              <w:t>ve</w:t>
            </w:r>
            <w:proofErr w:type="spellEnd"/>
            <w:r w:rsidRPr="008835AE">
              <w:rPr>
                <w:rFonts w:cs="Arial"/>
                <w:szCs w:val="22"/>
              </w:rPr>
              <w:t xml:space="preserve"> or –</w:t>
            </w:r>
            <w:proofErr w:type="spellStart"/>
            <w:r w:rsidRPr="008835AE">
              <w:rPr>
                <w:rFonts w:cs="Arial"/>
                <w:szCs w:val="22"/>
              </w:rPr>
              <w:t>ve</w:t>
            </w:r>
            <w:proofErr w:type="spellEnd"/>
            <w:r w:rsidRPr="008835AE">
              <w:rPr>
                <w:rFonts w:cs="Arial"/>
                <w:szCs w:val="22"/>
              </w:rPr>
              <w:t>)</w:t>
            </w:r>
          </w:p>
          <w:p w:rsidR="008835AE" w:rsidRPr="008835AE" w:rsidRDefault="008835AE" w:rsidP="008835AE">
            <w:pPr>
              <w:rPr>
                <w:rFonts w:cs="Arial"/>
                <w:szCs w:val="22"/>
              </w:rPr>
            </w:pPr>
            <w:r w:rsidRPr="008835AE">
              <w:rPr>
                <w:rFonts w:cs="Arial"/>
                <w:szCs w:val="22"/>
              </w:rPr>
              <w:t>Both South West Cancer Alliances bid</w:t>
            </w:r>
            <w:r>
              <w:rPr>
                <w:rFonts w:cs="Arial"/>
                <w:szCs w:val="22"/>
              </w:rPr>
              <w:t xml:space="preserve"> for</w:t>
            </w:r>
            <w:r w:rsidRPr="008835AE">
              <w:rPr>
                <w:rFonts w:cs="Arial"/>
                <w:szCs w:val="22"/>
              </w:rPr>
              <w:t xml:space="preserve"> and </w:t>
            </w:r>
            <w:r>
              <w:rPr>
                <w:rFonts w:cs="Arial"/>
                <w:szCs w:val="22"/>
              </w:rPr>
              <w:t xml:space="preserve">were </w:t>
            </w:r>
            <w:r w:rsidRPr="008835AE">
              <w:rPr>
                <w:rFonts w:cs="Arial"/>
                <w:szCs w:val="22"/>
              </w:rPr>
              <w:t>awarded funding to implement FIT in the South West – using NG12 criteria</w:t>
            </w:r>
          </w:p>
          <w:p w:rsidR="004C1365" w:rsidRDefault="008835AE" w:rsidP="004C1365">
            <w:pPr>
              <w:rPr>
                <w:rFonts w:cs="Arial"/>
                <w:szCs w:val="22"/>
              </w:rPr>
            </w:pPr>
            <w:r w:rsidRPr="008835AE">
              <w:rPr>
                <w:rFonts w:cs="Arial"/>
                <w:szCs w:val="22"/>
              </w:rPr>
              <w:t>Service started in June 201</w:t>
            </w:r>
            <w:r w:rsidR="004C1365">
              <w:rPr>
                <w:rFonts w:cs="Arial"/>
                <w:szCs w:val="22"/>
              </w:rPr>
              <w:t>8.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Other indications</w:t>
            </w:r>
            <w:r w:rsidR="00124028">
              <w:rPr>
                <w:rFonts w:cs="Arial"/>
                <w:szCs w:val="22"/>
              </w:rPr>
              <w:t xml:space="preserve"> to </w:t>
            </w:r>
            <w:r w:rsidRPr="004C1365">
              <w:rPr>
                <w:rFonts w:cs="Arial"/>
                <w:szCs w:val="22"/>
              </w:rPr>
              <w:t>be introduced by March 2019 in to National Bowel Cancer Screening Programme</w:t>
            </w:r>
            <w:r>
              <w:rPr>
                <w:rFonts w:cs="Arial"/>
                <w:szCs w:val="22"/>
              </w:rPr>
              <w:t>.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Threshold to be 120µg/g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Uptake likely to increase by 7% as test is more user friendly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Additional demand expected. Screening centres working through capacity plans with commissioners</w:t>
            </w:r>
          </w:p>
          <w:p w:rsidR="006D1B8B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Evidence suggests optimal screening detection threshold approx. 90µg/g</w:t>
            </w:r>
            <w:r w:rsidR="008835AE">
              <w:rPr>
                <w:rFonts w:cs="Arial"/>
                <w:szCs w:val="22"/>
              </w:rPr>
              <w:t>.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lastRenderedPageBreak/>
              <w:t>FIT – Other indications</w:t>
            </w:r>
            <w:r>
              <w:rPr>
                <w:rFonts w:cs="Arial"/>
                <w:szCs w:val="22"/>
              </w:rPr>
              <w:t xml:space="preserve">; </w:t>
            </w:r>
            <w:r w:rsidRPr="004C1365">
              <w:rPr>
                <w:rFonts w:cs="Arial"/>
                <w:szCs w:val="22"/>
              </w:rPr>
              <w:t>A number of studies are testing FIT in high risk patients i.e. those meeting criteria for 2 week wait referral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Non-English studies indicates this is appropriate and may reduce demand for referral by 40%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Some evidence that FIT could be used in screening programme in place of surveillance colonoscopy</w:t>
            </w:r>
          </w:p>
          <w:p w:rsid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FIT could have a place in surveillance following colorectal cancer</w:t>
            </w:r>
            <w:r>
              <w:rPr>
                <w:rFonts w:cs="Arial"/>
                <w:szCs w:val="22"/>
              </w:rPr>
              <w:t>.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 xml:space="preserve">Alliances recommend introduction of steps to allow patients to go straight from GP to test (colonoscopy, flexi-sigmoidoscopy, CT </w:t>
            </w:r>
            <w:proofErr w:type="spellStart"/>
            <w:r w:rsidRPr="004C1365">
              <w:rPr>
                <w:rFonts w:cs="Arial"/>
                <w:szCs w:val="22"/>
              </w:rPr>
              <w:t>colonography</w:t>
            </w:r>
            <w:proofErr w:type="spellEnd"/>
            <w:r w:rsidRPr="004C1365">
              <w:rPr>
                <w:rFonts w:cs="Arial"/>
                <w:szCs w:val="22"/>
              </w:rPr>
              <w:t>)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This is in place in all but 2 South West providers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Method of triage varies (nurse vs consultant, phone vs paper, direct electronic booking by GP)</w:t>
            </w:r>
          </w:p>
          <w:p w:rsidR="004C1365" w:rsidRP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Proportion of patients triaged to specific tests or outpatient appointment likely to vary</w:t>
            </w:r>
          </w:p>
          <w:p w:rsidR="004C1365" w:rsidRDefault="004C1365" w:rsidP="004C1365">
            <w:pPr>
              <w:rPr>
                <w:rFonts w:cs="Arial"/>
                <w:szCs w:val="22"/>
              </w:rPr>
            </w:pPr>
            <w:r w:rsidRPr="004C1365">
              <w:rPr>
                <w:rFonts w:cs="Arial"/>
                <w:szCs w:val="22"/>
              </w:rPr>
              <w:t>Cohort this process applies to varies (2ww vs routine referral)</w:t>
            </w:r>
            <w:r>
              <w:rPr>
                <w:rFonts w:cs="Arial"/>
                <w:szCs w:val="22"/>
              </w:rPr>
              <w:t>.</w:t>
            </w:r>
          </w:p>
          <w:p w:rsidR="00124028" w:rsidRDefault="004C1365" w:rsidP="004C136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Currently a flaw in the system is if a GP refers a patient to CR Services without a FIT test having been completed </w:t>
            </w:r>
            <w:r w:rsidR="00124028">
              <w:rPr>
                <w:rFonts w:cs="Arial"/>
                <w:szCs w:val="22"/>
              </w:rPr>
              <w:t xml:space="preserve">is a missed opportunity as </w:t>
            </w:r>
            <w:r>
              <w:rPr>
                <w:rFonts w:cs="Arial"/>
                <w:szCs w:val="22"/>
              </w:rPr>
              <w:t xml:space="preserve">the Acute Trust cannot </w:t>
            </w:r>
            <w:r w:rsidR="00124028">
              <w:rPr>
                <w:rFonts w:cs="Arial"/>
                <w:szCs w:val="22"/>
              </w:rPr>
              <w:t xml:space="preserve">run a FIT Test and so a </w:t>
            </w:r>
            <w:r>
              <w:rPr>
                <w:rFonts w:cs="Arial"/>
                <w:szCs w:val="22"/>
              </w:rPr>
              <w:t>different diagnosis pathway</w:t>
            </w:r>
            <w:r w:rsidR="00124028">
              <w:rPr>
                <w:rFonts w:cs="Arial"/>
                <w:szCs w:val="22"/>
              </w:rPr>
              <w:t xml:space="preserve"> commences. It’s essential to raise awareness and inform GPs of the benefit of offering FIT test. </w:t>
            </w:r>
          </w:p>
          <w:p w:rsidR="00412B0B" w:rsidRPr="00A07AC0" w:rsidRDefault="00412B0B" w:rsidP="006D1B8B">
            <w:pPr>
              <w:rPr>
                <w:rFonts w:cs="Arial"/>
                <w:szCs w:val="22"/>
              </w:rPr>
            </w:pP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603511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3</w:t>
            </w:r>
          </w:p>
        </w:tc>
        <w:tc>
          <w:tcPr>
            <w:tcW w:w="9530" w:type="dxa"/>
          </w:tcPr>
          <w:p w:rsidR="008E42DB" w:rsidRPr="00E572BB" w:rsidRDefault="00603511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 System-Wide Approach to Long Waiters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8E42DB" w:rsidP="00066CFF">
            <w:pPr>
              <w:pStyle w:val="ListParagraph"/>
              <w:ind w:left="0"/>
              <w:jc w:val="both"/>
            </w:pPr>
          </w:p>
        </w:tc>
        <w:tc>
          <w:tcPr>
            <w:tcW w:w="9530" w:type="dxa"/>
          </w:tcPr>
          <w:p w:rsidR="00603511" w:rsidRDefault="00603511" w:rsidP="008D14E8">
            <w:pPr>
              <w:pStyle w:val="ListParagraph"/>
              <w:ind w:left="0"/>
            </w:pPr>
            <w:proofErr w:type="spellStart"/>
            <w:r>
              <w:t>ARandle</w:t>
            </w:r>
            <w:proofErr w:type="spellEnd"/>
            <w:r>
              <w:t xml:space="preserve"> </w:t>
            </w:r>
            <w:r w:rsidR="00924FCF">
              <w:t>presented from</w:t>
            </w:r>
            <w:r>
              <w:t xml:space="preserve"> a GP</w:t>
            </w:r>
            <w:r w:rsidR="00924FCF">
              <w:t xml:space="preserve"> perspective</w:t>
            </w:r>
            <w:r>
              <w:t>.</w:t>
            </w:r>
          </w:p>
          <w:p w:rsidR="00924FCF" w:rsidRDefault="00924FCF" w:rsidP="00924FCF">
            <w:r>
              <w:t xml:space="preserve">The 62 Day protocol is a major driver in </w:t>
            </w:r>
            <w:r w:rsidRPr="00924FCF">
              <w:t>primary care.</w:t>
            </w:r>
          </w:p>
          <w:p w:rsidR="00924FCF" w:rsidRDefault="00924FCF" w:rsidP="00924FCF">
            <w:r>
              <w:t>2 Phases</w:t>
            </w:r>
          </w:p>
          <w:p w:rsidR="00924FCF" w:rsidRDefault="00924FCF" w:rsidP="00924FCF">
            <w:r>
              <w:t xml:space="preserve">‘The Golden 28 days’ of cancer diagnosis. </w:t>
            </w:r>
          </w:p>
          <w:p w:rsidR="00924FCF" w:rsidRDefault="00924FCF" w:rsidP="00924FCF">
            <w:r>
              <w:t xml:space="preserve">2ww conversion rate of 10% for the sake of easy maths </w:t>
            </w:r>
          </w:p>
          <w:p w:rsidR="00924FCF" w:rsidRDefault="00924FCF" w:rsidP="00924FCF">
            <w:pPr>
              <w:pStyle w:val="ListParagraph"/>
              <w:ind w:left="0"/>
            </w:pPr>
            <w:r>
              <w:t>By the time people are on the active cancer pathway the 28 days is over.</w:t>
            </w:r>
          </w:p>
          <w:p w:rsidR="00924FCF" w:rsidRDefault="00924FCF" w:rsidP="00924FCF">
            <w:pPr>
              <w:pStyle w:val="ListParagraph"/>
              <w:ind w:left="0"/>
            </w:pPr>
            <w:r>
              <w:t>GPs look at the pathway in this sort of way</w:t>
            </w:r>
            <w:proofErr w:type="gramStart"/>
            <w:r>
              <w:t>..</w:t>
            </w:r>
            <w:proofErr w:type="gramEnd"/>
          </w:p>
          <w:p w:rsidR="00924FCF" w:rsidRDefault="00924FCF" w:rsidP="00924FCF">
            <w:pPr>
              <w:pStyle w:val="ListParagraph"/>
            </w:pPr>
          </w:p>
          <w:p w:rsidR="00924FCF" w:rsidRDefault="00924FCF" w:rsidP="00924FCF">
            <w:pPr>
              <w:pStyle w:val="ListParagraph"/>
              <w:ind w:left="0"/>
            </w:pPr>
            <w:r>
              <w:t xml:space="preserve">As soon as we realise this person is going to need anticancer treatment and are going to count towards 62d </w:t>
            </w:r>
            <w:proofErr w:type="gramStart"/>
            <w:r>
              <w:t>target  we</w:t>
            </w:r>
            <w:proofErr w:type="gramEnd"/>
            <w:r>
              <w:t xml:space="preserve"> think of the steps in the pathway and try to make them quicker. More access to scans, streamlining pathways; i</w:t>
            </w:r>
            <w:r w:rsidRPr="00924FCF">
              <w:t>nstead of thinking of each step individually</w:t>
            </w:r>
            <w:r>
              <w:t xml:space="preserve">. We need to “achieve” the 62 days ‘better’. AR then gave an example where the diagnosis pathway </w:t>
            </w:r>
            <w:r w:rsidR="00500D4A">
              <w:t>for a specific patient went horribly wrong de</w:t>
            </w:r>
            <w:r>
              <w:t>spite  following</w:t>
            </w:r>
            <w:r w:rsidR="00500D4A">
              <w:t xml:space="preserve"> the protocol because of human error misdiagnosis due to emphasis placed on presenting symptoms against looked at against her medical background; unfortunate communication breakdowns on both sides. Patients can present in those first two </w:t>
            </w:r>
            <w:proofErr w:type="gramStart"/>
            <w:r w:rsidR="00500D4A">
              <w:t>weeks  with</w:t>
            </w:r>
            <w:proofErr w:type="gramEnd"/>
            <w:r w:rsidR="00500D4A">
              <w:t xml:space="preserve"> both </w:t>
            </w:r>
            <w:r w:rsidR="00500D4A" w:rsidRPr="00500D4A">
              <w:t>Medically Unexplained Symptoms and Vague Symptoms of Cancer at the same time</w:t>
            </w:r>
            <w:r w:rsidR="00213C1E">
              <w:t>, as was the case with this particular patient</w:t>
            </w:r>
            <w:r w:rsidR="00500D4A">
              <w:t>.</w:t>
            </w:r>
          </w:p>
          <w:p w:rsidR="00213C1E" w:rsidRDefault="00213C1E" w:rsidP="00924FCF">
            <w:pPr>
              <w:pStyle w:val="ListParagraph"/>
              <w:ind w:left="0"/>
            </w:pPr>
            <w:proofErr w:type="spellStart"/>
            <w:r>
              <w:t>PButtle</w:t>
            </w:r>
            <w:proofErr w:type="spellEnd"/>
            <w:r>
              <w:t xml:space="preserve"> commented that he has had personal experience of communications breakdown in the system. Firstly ‘</w:t>
            </w:r>
            <w:proofErr w:type="spellStart"/>
            <w:r>
              <w:t>pinchpoint</w:t>
            </w:r>
            <w:proofErr w:type="spellEnd"/>
            <w:r>
              <w:t>’ of letters generated by a Consultant back to the GP and secondly</w:t>
            </w:r>
            <w:r w:rsidR="00F22A80">
              <w:t xml:space="preserve"> when an urgent letter to do with treatment for his ill father was delayed five days because the GP left early on a Friday and the letter remained in the Out-tray until the GP returned to work. </w:t>
            </w:r>
            <w:proofErr w:type="spellStart"/>
            <w:r w:rsidR="00F22A80">
              <w:t>ARandle</w:t>
            </w:r>
            <w:proofErr w:type="spellEnd"/>
            <w:r w:rsidR="00F22A80">
              <w:t xml:space="preserve"> concurred that she had instances where patients had handed her Consultants’ letters that she had not received a direct copy of prior to that.</w:t>
            </w:r>
          </w:p>
          <w:p w:rsidR="00A97E07" w:rsidRDefault="00A97E07" w:rsidP="00924FCF">
            <w:pPr>
              <w:pStyle w:val="ListParagraph"/>
              <w:ind w:left="0"/>
            </w:pPr>
            <w:r>
              <w:t>In the South West and nationally better conversion rates lay in earlier diagnosis. 20% - 30% of Colorectal patients still present through Emergency admission.</w:t>
            </w:r>
          </w:p>
          <w:p w:rsidR="00A97E07" w:rsidRDefault="00A97E07" w:rsidP="00924FCF">
            <w:pPr>
              <w:pStyle w:val="ListParagraph"/>
              <w:ind w:left="0"/>
            </w:pPr>
            <w:r>
              <w:t>Patients do not always feel empowered.</w:t>
            </w:r>
          </w:p>
          <w:p w:rsidR="00A97E07" w:rsidRDefault="00A97E07" w:rsidP="00924FCF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C04DC61" wp14:editId="31873FCB">
                  <wp:extent cx="5943600" cy="3030855"/>
                  <wp:effectExtent l="0" t="0" r="0" b="0"/>
                  <wp:docPr id="1026" name="Picture 2" descr="Image result for patient activation measure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5E45C93-F4C4-4671-9B21-65EFEAF7FD2E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mage result for patient activation measure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A5E45C93-F4C4-4671-9B21-65EFEAF7FD2E}"/>
                              </a:ext>
                            </a:extLst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308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000A3" w:rsidRDefault="00F000A3" w:rsidP="008D14E8">
            <w:pPr>
              <w:pStyle w:val="ListParagraph"/>
              <w:ind w:left="0"/>
            </w:pPr>
            <w:r>
              <w:t xml:space="preserve"> </w:t>
            </w:r>
          </w:p>
          <w:p w:rsidR="00A97E07" w:rsidRDefault="00066CFF" w:rsidP="00066CFF">
            <w:pPr>
              <w:pStyle w:val="ListParagraph"/>
              <w:ind w:left="0"/>
            </w:pPr>
            <w:r>
              <w:t xml:space="preserve">Ten times the number of patients </w:t>
            </w:r>
            <w:proofErr w:type="gramStart"/>
            <w:r>
              <w:t>are</w:t>
            </w:r>
            <w:proofErr w:type="gramEnd"/>
            <w:r>
              <w:t xml:space="preserve"> entering the system who end up at the end of the pathway when a cancer is diagnosed. Many of these end up back with their GP with other health problems that require continued investigation so the capacity never decreases from a GP perspective</w:t>
            </w:r>
          </w:p>
          <w:p w:rsidR="00066CFF" w:rsidRPr="00E572BB" w:rsidRDefault="00066CFF" w:rsidP="00066CFF">
            <w:pPr>
              <w:pStyle w:val="ListParagraph"/>
              <w:ind w:left="0"/>
            </w:pPr>
            <w:r>
              <w:t xml:space="preserve">There is also the people who feel GPs are too busy to ‘bother’ the </w:t>
            </w:r>
            <w:proofErr w:type="gramStart"/>
            <w:r>
              <w:t>“ I</w:t>
            </w:r>
            <w:proofErr w:type="gramEnd"/>
            <w:r>
              <w:t xml:space="preserve"> don’t want to waste my GPs time” and so diagnosis is delayed.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066CFF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4.</w:t>
            </w:r>
          </w:p>
        </w:tc>
        <w:tc>
          <w:tcPr>
            <w:tcW w:w="9530" w:type="dxa"/>
          </w:tcPr>
          <w:p w:rsidR="008E42DB" w:rsidRPr="00E572BB" w:rsidRDefault="00066CFF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Implementation of national changes to screening programmes – FIT 120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ind w:left="720"/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8E42DB" w:rsidP="00066CF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530" w:type="dxa"/>
          </w:tcPr>
          <w:p w:rsidR="002A66C6" w:rsidRDefault="00D648B3" w:rsidP="009577B6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J</w:t>
            </w:r>
            <w:r w:rsidRPr="00D648B3">
              <w:rPr>
                <w:rFonts w:cs="Arial"/>
                <w:szCs w:val="22"/>
              </w:rPr>
              <w:t>Bolt</w:t>
            </w:r>
            <w:proofErr w:type="spellEnd"/>
            <w:r w:rsidRPr="00D648B3">
              <w:rPr>
                <w:rFonts w:cs="Arial"/>
                <w:szCs w:val="22"/>
              </w:rPr>
              <w:t>, Head of Public Health Commissioning</w:t>
            </w:r>
            <w:r>
              <w:rPr>
                <w:rFonts w:cs="Arial"/>
                <w:szCs w:val="22"/>
              </w:rPr>
              <w:t xml:space="preserve">, </w:t>
            </w:r>
            <w:r w:rsidRPr="00D648B3">
              <w:rPr>
                <w:rFonts w:cs="Arial"/>
                <w:szCs w:val="22"/>
              </w:rPr>
              <w:t>NHS England South West (South)</w:t>
            </w:r>
            <w:r>
              <w:rPr>
                <w:rFonts w:cs="Arial"/>
                <w:szCs w:val="22"/>
              </w:rPr>
              <w:t xml:space="preserve"> outlined an update on national rollout of FIT</w:t>
            </w:r>
            <w:r w:rsidR="002A66C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and the opportunities and challenges of that.</w:t>
            </w:r>
            <w:r w:rsidR="009577B6">
              <w:rPr>
                <w:rFonts w:cs="Arial"/>
                <w:szCs w:val="22"/>
              </w:rPr>
              <w:t xml:space="preserve"> </w:t>
            </w:r>
          </w:p>
          <w:p w:rsidR="00D648B3" w:rsidRDefault="009577B6" w:rsidP="009577B6">
            <w:pPr>
              <w:rPr>
                <w:rFonts w:cs="Arial"/>
                <w:szCs w:val="22"/>
              </w:rPr>
            </w:pPr>
            <w:r w:rsidRPr="009577B6">
              <w:rPr>
                <w:rFonts w:cs="Arial"/>
                <w:szCs w:val="22"/>
              </w:rPr>
              <w:t>Public Health functions are set out in Section 7a which include:</w:t>
            </w:r>
            <w:r w:rsidR="002A66C6">
              <w:rPr>
                <w:rFonts w:cs="Arial"/>
                <w:szCs w:val="22"/>
              </w:rPr>
              <w:t xml:space="preserve"> </w:t>
            </w:r>
            <w:r w:rsidRPr="009577B6">
              <w:rPr>
                <w:rFonts w:cs="Arial"/>
                <w:szCs w:val="22"/>
              </w:rPr>
              <w:t xml:space="preserve">Cancer and </w:t>
            </w:r>
            <w:proofErr w:type="spellStart"/>
            <w:r w:rsidRPr="009577B6">
              <w:rPr>
                <w:rFonts w:cs="Arial"/>
                <w:szCs w:val="22"/>
              </w:rPr>
              <w:t>non cancer</w:t>
            </w:r>
            <w:proofErr w:type="spellEnd"/>
            <w:r w:rsidRPr="009577B6">
              <w:rPr>
                <w:rFonts w:cs="Arial"/>
                <w:szCs w:val="22"/>
              </w:rPr>
              <w:t xml:space="preserve"> screening</w:t>
            </w:r>
            <w:r>
              <w:rPr>
                <w:rFonts w:cs="Arial"/>
                <w:szCs w:val="22"/>
              </w:rPr>
              <w:t>.</w:t>
            </w:r>
          </w:p>
          <w:p w:rsidR="009577B6" w:rsidRPr="002A66C6" w:rsidRDefault="002A66C6" w:rsidP="002A66C6">
            <w:pPr>
              <w:pStyle w:val="ListParagraph"/>
              <w:numPr>
                <w:ilvl w:val="0"/>
                <w:numId w:val="13"/>
              </w:numPr>
            </w:pPr>
            <w:r w:rsidRPr="002A66C6">
              <w:t>The role of NHS England –Section 7A Bowel Screening: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3"/>
              </w:numPr>
            </w:pPr>
            <w:r w:rsidRPr="002A66C6">
              <w:t xml:space="preserve">Commissioners of current </w:t>
            </w:r>
            <w:proofErr w:type="spellStart"/>
            <w:r w:rsidRPr="002A66C6">
              <w:t>gFOBT</w:t>
            </w:r>
            <w:proofErr w:type="spellEnd"/>
            <w:r w:rsidRPr="002A66C6">
              <w:t xml:space="preserve"> service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3"/>
              </w:numPr>
            </w:pPr>
            <w:r w:rsidRPr="002A66C6">
              <w:t>Commissioners of bowel scope screening (flexi sig)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3"/>
              </w:numPr>
            </w:pPr>
            <w:r w:rsidRPr="002A66C6">
              <w:t xml:space="preserve">Future commissioners of FIT 120 </w:t>
            </w:r>
          </w:p>
          <w:p w:rsidR="002A66C6" w:rsidRPr="002A66C6" w:rsidRDefault="002A66C6" w:rsidP="002A66C6">
            <w:pPr>
              <w:rPr>
                <w:rFonts w:cs="Arial"/>
                <w:szCs w:val="22"/>
              </w:rPr>
            </w:pPr>
          </w:p>
          <w:p w:rsidR="002A66C6" w:rsidRPr="002A66C6" w:rsidRDefault="002A66C6" w:rsidP="002A66C6">
            <w:pPr>
              <w:rPr>
                <w:rFonts w:cs="Arial"/>
                <w:szCs w:val="22"/>
              </w:rPr>
            </w:pPr>
            <w:r w:rsidRPr="002A66C6">
              <w:rPr>
                <w:rFonts w:cs="Arial"/>
                <w:szCs w:val="22"/>
              </w:rPr>
              <w:t>We don’t directly commission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4"/>
              </w:numPr>
            </w:pPr>
            <w:r w:rsidRPr="002A66C6">
              <w:t>Surveillance colonoscopies (CCGs)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4"/>
              </w:numPr>
            </w:pPr>
            <w:proofErr w:type="spellStart"/>
            <w:r w:rsidRPr="002A66C6">
              <w:t>qFIT</w:t>
            </w:r>
            <w:proofErr w:type="spellEnd"/>
            <w:r w:rsidRPr="002A66C6">
              <w:t xml:space="preserve"> (Cancer alliances with CCGs)</w:t>
            </w:r>
          </w:p>
          <w:p w:rsidR="002A66C6" w:rsidRPr="002A66C6" w:rsidRDefault="002A66C6" w:rsidP="002A66C6">
            <w:pPr>
              <w:rPr>
                <w:b/>
              </w:rPr>
            </w:pPr>
            <w:r w:rsidRPr="002A66C6">
              <w:rPr>
                <w:b/>
              </w:rPr>
              <w:t>Opportunities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t>Better outcomes for patients with positive impacts on other parts of the cancer pathways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t xml:space="preserve">Whole system approach to capacity planning e.g. </w:t>
            </w:r>
            <w:proofErr w:type="spellStart"/>
            <w:r>
              <w:t>qFIT</w:t>
            </w:r>
            <w:proofErr w:type="spellEnd"/>
            <w:r>
              <w:t xml:space="preserve"> and symptomatic services. Shared outcomes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t>Training and development opportunities for staff involved in bowel screening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t>Opportunity for services to undertake an internal review of their capacity and operating models, look for productivity, quality and efficiency gains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t>Opportunity to revisit the funding formula and contract mechanisms with each provider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Financial investment available to pump prime FIT roll out</w:t>
            </w:r>
          </w:p>
          <w:p w:rsidR="002A66C6" w:rsidRDefault="002A66C6" w:rsidP="002A66C6">
            <w:pPr>
              <w:pStyle w:val="ListParagraph"/>
              <w:numPr>
                <w:ilvl w:val="0"/>
                <w:numId w:val="15"/>
              </w:numPr>
            </w:pPr>
            <w:proofErr w:type="spellStart"/>
            <w:proofErr w:type="gramStart"/>
            <w:r>
              <w:t>qFIT</w:t>
            </w:r>
            <w:proofErr w:type="spellEnd"/>
            <w:proofErr w:type="gramEnd"/>
            <w:r>
              <w:t xml:space="preserve"> potential to unlock capacity?</w:t>
            </w:r>
          </w:p>
          <w:p w:rsidR="002A66C6" w:rsidRDefault="002A66C6" w:rsidP="002A66C6"/>
          <w:p w:rsidR="002A66C6" w:rsidRPr="002A66C6" w:rsidRDefault="002A66C6" w:rsidP="002A66C6">
            <w:r w:rsidRPr="002A66C6">
              <w:rPr>
                <w:b/>
              </w:rPr>
              <w:t>Challenges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6"/>
              </w:numPr>
            </w:pPr>
            <w:r w:rsidRPr="002A66C6">
              <w:t>Accuracy of the modelling assumes parameters are robust and will occur. How can we plan for variance?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6"/>
              </w:numPr>
            </w:pPr>
            <w:r w:rsidRPr="002A66C6">
              <w:t>Limited modelling to date on impact on pathology and radiology (must not overlook this)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6"/>
              </w:numPr>
            </w:pPr>
            <w:r w:rsidRPr="002A66C6">
              <w:t>No immediate clarity on what phasing would look like from a hub perspective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6"/>
              </w:numPr>
            </w:pPr>
            <w:r w:rsidRPr="002A66C6">
              <w:t>Surveillance cohorts currently paid for by CCGs</w:t>
            </w:r>
          </w:p>
          <w:p w:rsidR="002A66C6" w:rsidRPr="002A66C6" w:rsidRDefault="002A66C6" w:rsidP="002A66C6">
            <w:pPr>
              <w:pStyle w:val="ListParagraph"/>
              <w:numPr>
                <w:ilvl w:val="0"/>
                <w:numId w:val="16"/>
              </w:numPr>
            </w:pPr>
            <w:r w:rsidRPr="002A66C6">
              <w:t xml:space="preserve">Workforce, significant implications for some providers with ongoing training and recruitment planning </w:t>
            </w:r>
          </w:p>
          <w:p w:rsidR="002A66C6" w:rsidRP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r w:rsidRPr="002A66C6">
              <w:t>Additional equipment requirements and physical space to run additional lists that require capital funding</w:t>
            </w:r>
          </w:p>
          <w:p w:rsidR="002A66C6" w:rsidRP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r w:rsidRPr="002A66C6">
              <w:t>Diagnostics services in a number of providers already stretched and waiting times not being achieved especially in symptomatic services</w:t>
            </w:r>
          </w:p>
          <w:p w:rsidR="002A66C6" w:rsidRP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r w:rsidRPr="002A66C6">
              <w:t>Potential to create imbalance between screening and symptomatic services in terms of outcomes for patients</w:t>
            </w:r>
          </w:p>
          <w:p w:rsidR="002A66C6" w:rsidRP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r w:rsidRPr="002A66C6">
              <w:t>No national funding model or financial allocation for FIT</w:t>
            </w:r>
          </w:p>
          <w:p w:rsidR="002A66C6" w:rsidRP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r w:rsidRPr="002A66C6">
              <w:t>Most providers working to a population based funding formula with a block contract</w:t>
            </w:r>
          </w:p>
          <w:p w:rsidR="002A66C6" w:rsidRDefault="002A66C6" w:rsidP="00683192">
            <w:pPr>
              <w:pStyle w:val="ListParagraph"/>
              <w:numPr>
                <w:ilvl w:val="0"/>
                <w:numId w:val="16"/>
              </w:numPr>
            </w:pPr>
            <w:proofErr w:type="spellStart"/>
            <w:proofErr w:type="gramStart"/>
            <w:r w:rsidRPr="002A66C6">
              <w:t>q</w:t>
            </w:r>
            <w:r w:rsidR="00323445">
              <w:t>FIT</w:t>
            </w:r>
            <w:proofErr w:type="spellEnd"/>
            <w:proofErr w:type="gramEnd"/>
            <w:r w:rsidR="00323445">
              <w:t xml:space="preserve"> impact could be negative?</w:t>
            </w:r>
          </w:p>
          <w:p w:rsidR="00323445" w:rsidRDefault="00323445" w:rsidP="00323445"/>
          <w:p w:rsidR="00323445" w:rsidRPr="00323445" w:rsidRDefault="00323445" w:rsidP="00323445">
            <w:pPr>
              <w:rPr>
                <w:b/>
              </w:rPr>
            </w:pPr>
            <w:r w:rsidRPr="00323445">
              <w:rPr>
                <w:b/>
              </w:rPr>
              <w:t>Nest steps</w:t>
            </w:r>
          </w:p>
          <w:p w:rsidR="00323445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>Validating the capacity demands with providers, ensure we have captured and quantified all impacts, risk assessments to assure national oversight processes</w:t>
            </w:r>
          </w:p>
          <w:p w:rsidR="00323445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>Review provider mobilisation and investment plans, agree pump priming funding where suitable.</w:t>
            </w:r>
          </w:p>
          <w:p w:rsidR="00323445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 xml:space="preserve">Agree contracts and pricing with screening centres for the additional expected activity </w:t>
            </w:r>
          </w:p>
          <w:p w:rsidR="00323445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>Critical dependency is the timing and outcome of the national procurement for the FIT testing kits, sample hardware and IT for the hubs to begin phasing the invitations</w:t>
            </w:r>
          </w:p>
          <w:p w:rsidR="00323445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 xml:space="preserve">Continue to work with CCGs on whole pathway capacity plans to mitigate any unintended consequences from FIT120 </w:t>
            </w:r>
          </w:p>
          <w:p w:rsidR="00323445" w:rsidRPr="002A66C6" w:rsidRDefault="00323445" w:rsidP="00323445">
            <w:pPr>
              <w:pStyle w:val="ListParagraph"/>
              <w:numPr>
                <w:ilvl w:val="0"/>
                <w:numId w:val="17"/>
              </w:numPr>
            </w:pPr>
            <w:r>
              <w:t>Continue to work with stakeholders including Cancer Alliances  to ensure clear and consistent messaging and identify any areas for complimentary work to improve patient outcomes</w:t>
            </w:r>
          </w:p>
          <w:p w:rsidR="002A66C6" w:rsidRPr="002A66C6" w:rsidRDefault="002A66C6" w:rsidP="002A66C6">
            <w:pPr>
              <w:rPr>
                <w:b/>
              </w:rPr>
            </w:pP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AC1F4A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5</w:t>
            </w:r>
          </w:p>
        </w:tc>
        <w:tc>
          <w:tcPr>
            <w:tcW w:w="9530" w:type="dxa"/>
          </w:tcPr>
          <w:p w:rsidR="008E42DB" w:rsidRPr="00E572BB" w:rsidRDefault="00AC1F4A" w:rsidP="00AC1F4A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Self-Assessment against guidance in</w:t>
            </w:r>
            <w:r w:rsidR="006963E1">
              <w:rPr>
                <w:rFonts w:cs="Arial"/>
                <w:b/>
                <w:szCs w:val="22"/>
              </w:rPr>
              <w:t xml:space="preserve"> De</w:t>
            </w:r>
            <w:r>
              <w:rPr>
                <w:rFonts w:cs="Arial"/>
                <w:b/>
                <w:szCs w:val="22"/>
              </w:rPr>
              <w:t>von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rPr>
          <w:trHeight w:val="1195"/>
        </w:trPr>
        <w:tc>
          <w:tcPr>
            <w:tcW w:w="504" w:type="dxa"/>
          </w:tcPr>
          <w:p w:rsidR="008E42DB" w:rsidRPr="00E572BB" w:rsidRDefault="008E42DB" w:rsidP="00066CF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530" w:type="dxa"/>
          </w:tcPr>
          <w:p w:rsidR="00927668" w:rsidRDefault="00520556" w:rsidP="00E54AA4">
            <w:pPr>
              <w:rPr>
                <w:rFonts w:cs="Arial"/>
                <w:szCs w:val="22"/>
              </w:rPr>
            </w:pPr>
            <w:proofErr w:type="spellStart"/>
            <w:proofErr w:type="gramStart"/>
            <w:r>
              <w:rPr>
                <w:rFonts w:cs="Arial"/>
                <w:szCs w:val="22"/>
              </w:rPr>
              <w:t>BParker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r w:rsidR="004104EE">
              <w:rPr>
                <w:rFonts w:cs="Arial"/>
                <w:szCs w:val="22"/>
              </w:rPr>
              <w:t xml:space="preserve"> (</w:t>
            </w:r>
            <w:proofErr w:type="gramEnd"/>
            <w:r w:rsidR="004104EE">
              <w:rPr>
                <w:rFonts w:cs="Arial"/>
                <w:szCs w:val="22"/>
              </w:rPr>
              <w:t>Head of Commissioning-Planned Care at South Devon and Torbay CCG) provided a tabled Audit Tool “</w:t>
            </w:r>
            <w:r w:rsidR="004104EE" w:rsidRPr="004104EE">
              <w:rPr>
                <w:rFonts w:cs="Arial"/>
                <w:szCs w:val="22"/>
              </w:rPr>
              <w:t>IMPLEMENTING A TIMED COLORECTAL CANCER DIAGNOSTICS PATHWAY – BASELINE AUDIT TOOL – SUMMARY ANALYSIS</w:t>
            </w:r>
            <w:r w:rsidR="004104EE">
              <w:rPr>
                <w:rFonts w:cs="Arial"/>
                <w:szCs w:val="22"/>
              </w:rPr>
              <w:t xml:space="preserve">” for pre-reading ahead of the Council meeting. The Tool scrutinises if the planned protocol pathway steps are being met at each stage </w:t>
            </w:r>
            <w:r w:rsidR="00E54AA4">
              <w:rPr>
                <w:rFonts w:cs="Arial"/>
                <w:szCs w:val="22"/>
              </w:rPr>
              <w:t xml:space="preserve">across the Acute Trusts in South West (South) </w:t>
            </w:r>
            <w:r w:rsidR="004104EE">
              <w:rPr>
                <w:rFonts w:cs="Arial"/>
                <w:szCs w:val="22"/>
              </w:rPr>
              <w:t xml:space="preserve">and to what extent and what </w:t>
            </w:r>
            <w:r w:rsidR="00E54AA4">
              <w:rPr>
                <w:rFonts w:cs="Arial"/>
                <w:szCs w:val="22"/>
              </w:rPr>
              <w:t xml:space="preserve">identified </w:t>
            </w:r>
            <w:r w:rsidR="004104EE">
              <w:rPr>
                <w:rFonts w:cs="Arial"/>
                <w:szCs w:val="22"/>
              </w:rPr>
              <w:t xml:space="preserve">actions </w:t>
            </w:r>
            <w:r w:rsidR="00E54AA4">
              <w:rPr>
                <w:rFonts w:cs="Arial"/>
                <w:szCs w:val="22"/>
              </w:rPr>
              <w:t xml:space="preserve">are to be </w:t>
            </w:r>
            <w:r w:rsidR="004104EE">
              <w:rPr>
                <w:rFonts w:cs="Arial"/>
                <w:szCs w:val="22"/>
              </w:rPr>
              <w:t>put in to place to improve any shortfalls.</w:t>
            </w:r>
            <w:r w:rsidR="00E54AA4">
              <w:rPr>
                <w:rFonts w:cs="Arial"/>
                <w:szCs w:val="22"/>
              </w:rPr>
              <w:t xml:space="preserve"> It provides both a “Place Plan” and a “System Plan” that can be continually updated.</w:t>
            </w:r>
          </w:p>
          <w:p w:rsidR="0079315F" w:rsidRDefault="00E54AA4" w:rsidP="0079315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By using the template format it has helped to identify and highlight specific </w:t>
            </w:r>
            <w:proofErr w:type="gramStart"/>
            <w:r>
              <w:rPr>
                <w:rFonts w:cs="Arial"/>
                <w:szCs w:val="22"/>
              </w:rPr>
              <w:t>areas  that</w:t>
            </w:r>
            <w:proofErr w:type="gramEnd"/>
            <w:r>
              <w:rPr>
                <w:rFonts w:cs="Arial"/>
                <w:szCs w:val="22"/>
              </w:rPr>
              <w:t xml:space="preserve"> are under pressure and to arrange meetings specific to addressing those issues at the earliest opportunity. There are specific Workforce aspects that prevent the system plan working optimally; e.g. that PHNT </w:t>
            </w:r>
            <w:r w:rsidR="0079315F">
              <w:rPr>
                <w:rFonts w:cs="Arial"/>
                <w:szCs w:val="22"/>
              </w:rPr>
              <w:t>had 6 vacancies within the Endoscopy Department for 1 year at one point.</w:t>
            </w:r>
          </w:p>
          <w:p w:rsidR="00DF7039" w:rsidRDefault="0079315F" w:rsidP="0079315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This strategic plan across Devon is informed by continual research and compilation of data and although a relatively simple technique it demonstrates that whole systems are undergoing a total challenge and not just pockets in isolation.</w:t>
            </w:r>
            <w:r w:rsidR="00DF7039">
              <w:rPr>
                <w:rFonts w:cs="Arial"/>
                <w:szCs w:val="22"/>
              </w:rPr>
              <w:t xml:space="preserve"> </w:t>
            </w:r>
            <w:r w:rsidR="00217AD3">
              <w:rPr>
                <w:rFonts w:cs="Arial"/>
                <w:szCs w:val="22"/>
              </w:rPr>
              <w:t xml:space="preserve">This </w:t>
            </w:r>
            <w:proofErr w:type="spellStart"/>
            <w:r w:rsidR="00217AD3">
              <w:rPr>
                <w:rFonts w:cs="Arial"/>
                <w:szCs w:val="22"/>
              </w:rPr>
              <w:t>crystalises</w:t>
            </w:r>
            <w:proofErr w:type="spellEnd"/>
            <w:r w:rsidR="00217AD3">
              <w:rPr>
                <w:rFonts w:cs="Arial"/>
                <w:szCs w:val="22"/>
              </w:rPr>
              <w:t xml:space="preserve"> where those problems occur to </w:t>
            </w:r>
            <w:r w:rsidR="00DF7039">
              <w:rPr>
                <w:rFonts w:cs="Arial"/>
                <w:szCs w:val="22"/>
              </w:rPr>
              <w:t>then be focussed on.</w:t>
            </w:r>
          </w:p>
          <w:p w:rsidR="00E54AA4" w:rsidRDefault="00217AD3" w:rsidP="00003D3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This is against a </w:t>
            </w:r>
            <w:r w:rsidR="00DF7039">
              <w:rPr>
                <w:rFonts w:cs="Arial"/>
                <w:szCs w:val="22"/>
              </w:rPr>
              <w:t xml:space="preserve">picture of Workforce challenges </w:t>
            </w:r>
            <w:r>
              <w:rPr>
                <w:rFonts w:cs="Arial"/>
                <w:szCs w:val="22"/>
              </w:rPr>
              <w:t xml:space="preserve">nationally </w:t>
            </w:r>
            <w:r w:rsidR="00DF7039">
              <w:rPr>
                <w:rFonts w:cs="Arial"/>
                <w:szCs w:val="22"/>
              </w:rPr>
              <w:t>for Endoscopy Departments</w:t>
            </w:r>
            <w:r w:rsidR="0079315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which </w:t>
            </w:r>
            <w:proofErr w:type="spellStart"/>
            <w:r>
              <w:rPr>
                <w:rFonts w:cs="Arial"/>
                <w:szCs w:val="22"/>
              </w:rPr>
              <w:t>DHalpin</w:t>
            </w:r>
            <w:proofErr w:type="spellEnd"/>
            <w:r>
              <w:rPr>
                <w:rFonts w:cs="Arial"/>
                <w:szCs w:val="22"/>
              </w:rPr>
              <w:t xml:space="preserve"> commented on at the same juncture of asking can this Plan Tool be rolled out to other Cancer Pathways which are failing and which too require solutions of their own.</w:t>
            </w:r>
            <w:r w:rsidR="00003D3C">
              <w:rPr>
                <w:rFonts w:cs="Arial"/>
                <w:szCs w:val="22"/>
              </w:rPr>
              <w:t xml:space="preserve"> It is important that </w:t>
            </w:r>
            <w:r w:rsidR="00DD3B0C">
              <w:rPr>
                <w:rFonts w:cs="Arial"/>
                <w:szCs w:val="22"/>
              </w:rPr>
              <w:t xml:space="preserve">any </w:t>
            </w:r>
            <w:r w:rsidR="00003D3C">
              <w:rPr>
                <w:rFonts w:cs="Arial"/>
                <w:szCs w:val="22"/>
              </w:rPr>
              <w:t>increased funding is new and not redirected from other services.</w:t>
            </w:r>
          </w:p>
          <w:p w:rsidR="00DD3B0C" w:rsidRDefault="00DD3B0C" w:rsidP="00DD3B0C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MFeldman</w:t>
            </w:r>
            <w:proofErr w:type="spellEnd"/>
            <w:r>
              <w:rPr>
                <w:rFonts w:cs="Arial"/>
                <w:szCs w:val="22"/>
              </w:rPr>
              <w:t xml:space="preserve"> commented that she attends various meetings all with a different focus for consideration such as Commissioner decision </w:t>
            </w:r>
            <w:proofErr w:type="gramStart"/>
            <w:r>
              <w:rPr>
                <w:rFonts w:cs="Arial"/>
                <w:szCs w:val="22"/>
              </w:rPr>
              <w:t>maker  viewpoint</w:t>
            </w:r>
            <w:proofErr w:type="gramEnd"/>
            <w:r>
              <w:rPr>
                <w:rFonts w:cs="Arial"/>
                <w:szCs w:val="22"/>
              </w:rPr>
              <w:t xml:space="preserve"> versus the Clinician’s viewpoint. Communications – meetings need to be improved conversations about detail and at the same time generic. The process is very proactive with Clinicians feeding in e.g. if a discussion is about scanners the location, age of scanner is known.</w:t>
            </w:r>
          </w:p>
          <w:p w:rsidR="00DD3B0C" w:rsidRPr="00E572BB" w:rsidRDefault="00DD3B0C" w:rsidP="00DD3B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Scanners can operate 7 days a week if the requisite staff was available e.g. between Feb and May 2018, 95 hrs of potential scanning were lost due to maintenance; FIT120 cannot work optimally unless there is the workforce capacity to meet it.</w:t>
            </w:r>
          </w:p>
        </w:tc>
        <w:tc>
          <w:tcPr>
            <w:tcW w:w="659" w:type="dxa"/>
          </w:tcPr>
          <w:p w:rsidR="008E42DB" w:rsidRDefault="008E42DB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Default="009503E4" w:rsidP="00892361">
            <w:pPr>
              <w:jc w:val="center"/>
              <w:rPr>
                <w:rFonts w:cs="Arial"/>
                <w:szCs w:val="22"/>
              </w:rPr>
            </w:pPr>
          </w:p>
          <w:p w:rsidR="009503E4" w:rsidRPr="00E572BB" w:rsidRDefault="009503E4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DD3B0C" w:rsidP="00066CFF">
            <w:pPr>
              <w:jc w:val="both"/>
              <w:rPr>
                <w:rFonts w:cs="Arial"/>
                <w:b/>
                <w:szCs w:val="22"/>
              </w:rPr>
            </w:pPr>
            <w:r w:rsidRPr="00DD3B0C">
              <w:rPr>
                <w:rFonts w:cs="Arial"/>
                <w:b/>
                <w:szCs w:val="22"/>
              </w:rPr>
              <w:lastRenderedPageBreak/>
              <w:t>6</w:t>
            </w:r>
          </w:p>
        </w:tc>
        <w:tc>
          <w:tcPr>
            <w:tcW w:w="9530" w:type="dxa"/>
          </w:tcPr>
          <w:p w:rsidR="008E42DB" w:rsidRPr="00E572BB" w:rsidRDefault="00DD3B0C" w:rsidP="009503E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HEE workforce update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8E42DB" w:rsidP="00066CFF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9530" w:type="dxa"/>
          </w:tcPr>
          <w:p w:rsidR="008E42DB" w:rsidRDefault="001D3153" w:rsidP="00DD3B0C">
            <w:proofErr w:type="spellStart"/>
            <w:r>
              <w:rPr>
                <w:b/>
              </w:rPr>
              <w:t>DSprague</w:t>
            </w:r>
            <w:proofErr w:type="spellEnd"/>
            <w:r w:rsidR="00CC560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CC560B" w:rsidRPr="00CC560B">
              <w:t>LETB Director South West at Health Education South West</w:t>
            </w:r>
            <w:r w:rsidR="00CC560B">
              <w:t xml:space="preserve"> p</w:t>
            </w:r>
            <w:r w:rsidR="00D01EBD">
              <w:t xml:space="preserve">resented </w:t>
            </w:r>
            <w:r w:rsidR="00CC560B">
              <w:t>Implementation of the National Cancer Workforce Plan (</w:t>
            </w:r>
            <w:r w:rsidR="00D01EBD">
              <w:t>an Aligned Cancer Plan</w:t>
            </w:r>
            <w:r w:rsidR="00CC560B">
              <w:t xml:space="preserve"> [HEE])</w:t>
            </w:r>
            <w:r w:rsidR="00810E8B">
              <w:t>.</w:t>
            </w:r>
          </w:p>
          <w:p w:rsidR="00EC145B" w:rsidRDefault="00EC145B" w:rsidP="00EC145B">
            <w:r w:rsidRPr="00EC145B">
              <w:t>The National Cancer Plan commenced in 2015</w:t>
            </w:r>
            <w:r>
              <w:t xml:space="preserve"> (Phase 1) HEE’s Cancer Workforce Strategy:  Dec 2017 – Mar 18 focuses on 2018 -2021. </w:t>
            </w:r>
          </w:p>
          <w:p w:rsidR="00D01EBD" w:rsidRDefault="00D01EBD" w:rsidP="00DD3B0C">
            <w:r>
              <w:t xml:space="preserve">Phase 2 </w:t>
            </w:r>
            <w:r w:rsidR="00EC145B">
              <w:t xml:space="preserve">is imminent but </w:t>
            </w:r>
            <w:r w:rsidR="00081175">
              <w:t xml:space="preserve">the launch </w:t>
            </w:r>
            <w:r w:rsidR="00EC145B">
              <w:t xml:space="preserve">is delayed </w:t>
            </w:r>
            <w:r w:rsidR="00081175">
              <w:t xml:space="preserve">by the recently announced </w:t>
            </w:r>
            <w:r>
              <w:t>NHS 10 Year Plan</w:t>
            </w:r>
            <w:r w:rsidR="00081175">
              <w:t>.</w:t>
            </w:r>
          </w:p>
          <w:p w:rsidR="00D01EBD" w:rsidRDefault="00081175" w:rsidP="00DD3B0C">
            <w:r>
              <w:t>Two</w:t>
            </w:r>
            <w:r w:rsidR="00D01EBD">
              <w:t xml:space="preserve"> </w:t>
            </w:r>
            <w:r>
              <w:t>k</w:t>
            </w:r>
            <w:r w:rsidR="00D01EBD">
              <w:t>ey areas for</w:t>
            </w:r>
            <w:r>
              <w:t xml:space="preserve"> the plan are Clinical Radiology and </w:t>
            </w:r>
            <w:r w:rsidRPr="00081175">
              <w:t>Clinical and Medical Oncology</w:t>
            </w:r>
            <w:r>
              <w:t>.</w:t>
            </w:r>
          </w:p>
          <w:p w:rsidR="00D01EBD" w:rsidRDefault="00081175" w:rsidP="00DD3B0C">
            <w:r w:rsidRPr="00081175">
              <w:t>A phase 2 cancer workforce plan will take a medium to longer term view on the workforce.  This will include additional information outlining the challenges for the nursing workforce, including Cancer Clinical Nurse Specialists.</w:t>
            </w:r>
            <w:r>
              <w:t xml:space="preserve"> (</w:t>
            </w:r>
            <w:r w:rsidR="00810E8B">
              <w:t xml:space="preserve">HEE </w:t>
            </w:r>
            <w:r w:rsidR="00D01EBD">
              <w:t>working in conjunction with Macmillan Nurses</w:t>
            </w:r>
            <w:r>
              <w:t xml:space="preserve"> to underpin the training required for the role).</w:t>
            </w:r>
          </w:p>
          <w:p w:rsidR="00081175" w:rsidRDefault="00081175" w:rsidP="00081175">
            <w:r>
              <w:t xml:space="preserve">To improve the overall supply HEE and its </w:t>
            </w:r>
            <w:proofErr w:type="spellStart"/>
            <w:r>
              <w:t>Arms Length</w:t>
            </w:r>
            <w:proofErr w:type="spellEnd"/>
            <w:r>
              <w:t xml:space="preserve"> Body partners need to undertake a series of actions to improve the supply by:</w:t>
            </w:r>
          </w:p>
          <w:p w:rsidR="00081175" w:rsidRDefault="00081175" w:rsidP="00081175"/>
          <w:p w:rsidR="00081175" w:rsidRDefault="00081175" w:rsidP="00081175">
            <w:r>
              <w:t>Reducing ‘attrition’ from training and improving the numbers and speed of transition into NHS employment (HEE role)</w:t>
            </w:r>
          </w:p>
          <w:p w:rsidR="00081175" w:rsidRDefault="00081175" w:rsidP="00081175"/>
          <w:p w:rsidR="00081175" w:rsidRDefault="00081175" w:rsidP="00081175">
            <w:r>
              <w:t>Improving retention of existing NHS staff, postponing retirements, recruiting into the NHS from non-NHS sectors of employment and international recruitment. (</w:t>
            </w:r>
            <w:proofErr w:type="gramStart"/>
            <w:r>
              <w:t>mainly</w:t>
            </w:r>
            <w:proofErr w:type="gramEnd"/>
            <w:r>
              <w:t xml:space="preserve"> employer role).</w:t>
            </w:r>
          </w:p>
          <w:p w:rsidR="00081175" w:rsidRDefault="00081175" w:rsidP="00081175"/>
          <w:p w:rsidR="00081175" w:rsidRDefault="00081175" w:rsidP="00081175">
            <w:r>
              <w:t xml:space="preserve">In Phase 1 HEE is working with six Cancer Alliances in the south of </w:t>
            </w:r>
            <w:proofErr w:type="gramStart"/>
            <w:r>
              <w:t>England  (</w:t>
            </w:r>
            <w:proofErr w:type="gramEnd"/>
            <w:r>
              <w:t>two in the SW) to develop local/ regional workforce plans.</w:t>
            </w:r>
          </w:p>
          <w:p w:rsidR="00081175" w:rsidRDefault="00081175" w:rsidP="004B1D4A">
            <w:r>
              <w:t>Cancer Alliances have no statutory powers re workforce; thus more must be done to align plans with STPs/ICS and maximise levers across the system.  The workforce planning process provides focus for necessary conversations, raising the profile of workforce planning with</w:t>
            </w:r>
            <w:r w:rsidR="004B1D4A">
              <w:t xml:space="preserve"> Alliance partners and beyond e.g. </w:t>
            </w:r>
            <w:r>
              <w:t xml:space="preserve">ALB South Cancer Programme Priority Board leads and with their agreement </w:t>
            </w:r>
            <w:r w:rsidR="004B1D4A">
              <w:t>HEE</w:t>
            </w:r>
            <w:r>
              <w:t xml:space="preserve"> set up and</w:t>
            </w:r>
            <w:r w:rsidR="004B1D4A">
              <w:t xml:space="preserve"> DS</w:t>
            </w:r>
            <w:r>
              <w:t xml:space="preserve"> Chair</w:t>
            </w:r>
            <w:r w:rsidR="004B1D4A">
              <w:t>’s</w:t>
            </w:r>
            <w:r>
              <w:t xml:space="preserve"> a South Workforce sub-group.  This gives workforce focus, supporting the HEE and NHSE/I ambitions</w:t>
            </w:r>
            <w:r w:rsidR="004B1D4A">
              <w:t>.</w:t>
            </w:r>
          </w:p>
          <w:p w:rsidR="004B1D4A" w:rsidRDefault="004B1D4A" w:rsidP="004B1D4A"/>
          <w:p w:rsidR="004B1D4A" w:rsidRPr="004B1D4A" w:rsidRDefault="004B1D4A" w:rsidP="004B1D4A">
            <w:r w:rsidRPr="004B1D4A">
              <w:rPr>
                <w:bCs/>
              </w:rPr>
              <w:t xml:space="preserve">International recruitment </w:t>
            </w:r>
            <w:r w:rsidRPr="004B1D4A">
              <w:t xml:space="preserve">will contribute </w:t>
            </w:r>
            <w:r w:rsidRPr="004B1D4A">
              <w:rPr>
                <w:bCs/>
              </w:rPr>
              <w:t xml:space="preserve">the single greatest contribution to workforce </w:t>
            </w:r>
            <w:r>
              <w:rPr>
                <w:bCs/>
              </w:rPr>
              <w:t>gr</w:t>
            </w:r>
            <w:r w:rsidRPr="004B1D4A">
              <w:rPr>
                <w:bCs/>
              </w:rPr>
              <w:t>owth…BUT</w:t>
            </w:r>
            <w:r>
              <w:rPr>
                <w:bCs/>
              </w:rPr>
              <w:t xml:space="preserve"> </w:t>
            </w:r>
            <w:r w:rsidRPr="004B1D4A">
              <w:rPr>
                <w:bCs/>
              </w:rPr>
              <w:t>maximising uptake of reporting radiography training</w:t>
            </w:r>
            <w:r w:rsidRPr="004B1D4A">
              <w:t xml:space="preserve">.  </w:t>
            </w:r>
          </w:p>
          <w:p w:rsidR="004B1D4A" w:rsidRPr="004B1D4A" w:rsidRDefault="004B1D4A" w:rsidP="004B1D4A">
            <w:r w:rsidRPr="004B1D4A">
              <w:t xml:space="preserve">Utilising a </w:t>
            </w:r>
            <w:r w:rsidRPr="004B1D4A">
              <w:rPr>
                <w:bCs/>
              </w:rPr>
              <w:t xml:space="preserve">range of approaches to recruit into consultant posts, including international </w:t>
            </w:r>
            <w:r w:rsidRPr="004B1D4A">
              <w:rPr>
                <w:bCs/>
              </w:rPr>
              <w:lastRenderedPageBreak/>
              <w:t>recruitment within Clinical Radiology and Clinical and Medical Oncology</w:t>
            </w:r>
            <w:r w:rsidRPr="004B1D4A">
              <w:t>.  Within Midlands and East region there is a move away from traditional clinical oncology posts to radiation oncology posts with a view to making posts attractive.</w:t>
            </w:r>
          </w:p>
          <w:p w:rsidR="004B1D4A" w:rsidRDefault="00F329EE" w:rsidP="004B1D4A">
            <w:r>
              <w:t>Current plans include;</w:t>
            </w:r>
          </w:p>
          <w:p w:rsidR="00F329EE" w:rsidRDefault="00F329EE" w:rsidP="00F329EE">
            <w:pPr>
              <w:pStyle w:val="ListParagraph"/>
              <w:numPr>
                <w:ilvl w:val="0"/>
                <w:numId w:val="18"/>
              </w:numPr>
            </w:pPr>
            <w:r>
              <w:t xml:space="preserve">Training to provide </w:t>
            </w:r>
            <w:r w:rsidRPr="00F329EE">
              <w:t xml:space="preserve">200 more clinical </w:t>
            </w:r>
            <w:proofErr w:type="spellStart"/>
            <w:r w:rsidRPr="00F329EE">
              <w:t>endoscopists</w:t>
            </w:r>
            <w:proofErr w:type="spellEnd"/>
            <w:r w:rsidRPr="00F329EE">
              <w:t xml:space="preserve"> by 2020</w:t>
            </w:r>
          </w:p>
          <w:p w:rsidR="00F329EE" w:rsidRDefault="00F329EE" w:rsidP="00F329EE">
            <w:pPr>
              <w:pStyle w:val="ListParagraph"/>
              <w:numPr>
                <w:ilvl w:val="0"/>
                <w:numId w:val="18"/>
              </w:numPr>
            </w:pPr>
            <w:r w:rsidRPr="00F329EE">
              <w:t>150-300 Diagnostic Reporting Radiographers by 2020 (already secured 2018-19 places)</w:t>
            </w:r>
          </w:p>
          <w:p w:rsidR="00F329EE" w:rsidRDefault="00F329EE" w:rsidP="00F329EE">
            <w:r>
              <w:t xml:space="preserve">           (</w:t>
            </w:r>
            <w:r w:rsidRPr="00F329EE">
              <w:rPr>
                <w:rFonts w:cs="Arial"/>
                <w:szCs w:val="22"/>
              </w:rPr>
              <w:t>7 month training programme for each; first cohort trained within 12 months</w:t>
            </w:r>
            <w:r>
              <w:rPr>
                <w:rFonts w:cs="Arial"/>
                <w:szCs w:val="22"/>
              </w:rPr>
              <w:t>)</w:t>
            </w:r>
          </w:p>
          <w:p w:rsidR="00F329EE" w:rsidRDefault="00F329EE" w:rsidP="00F329EE">
            <w:pPr>
              <w:pStyle w:val="ListParagraph"/>
              <w:numPr>
                <w:ilvl w:val="0"/>
                <w:numId w:val="18"/>
              </w:numPr>
            </w:pPr>
            <w:r w:rsidRPr="00F329EE">
              <w:t>150 nurses and AHPs to complete ‘Macmillan Explore’</w:t>
            </w:r>
            <w:r>
              <w:t xml:space="preserve"> - b</w:t>
            </w:r>
            <w:r w:rsidRPr="00F329EE">
              <w:t xml:space="preserve">y </w:t>
            </w:r>
            <w:r>
              <w:t xml:space="preserve">the </w:t>
            </w:r>
            <w:r w:rsidRPr="00F329EE">
              <w:t>end 2018</w:t>
            </w:r>
          </w:p>
          <w:p w:rsidR="00F329EE" w:rsidRDefault="00F329EE" w:rsidP="00F329EE">
            <w:pPr>
              <w:pStyle w:val="ListParagraph"/>
              <w:numPr>
                <w:ilvl w:val="0"/>
                <w:numId w:val="18"/>
              </w:numPr>
            </w:pPr>
            <w:r w:rsidRPr="00F329EE">
              <w:t>Competency framework for CNSs and skills support programme</w:t>
            </w:r>
          </w:p>
          <w:p w:rsidR="006779F4" w:rsidRDefault="006779F4" w:rsidP="006779F4">
            <w:r>
              <w:t xml:space="preserve">The HEE funding </w:t>
            </w:r>
            <w:proofErr w:type="gramStart"/>
            <w:r>
              <w:t>offer  includes</w:t>
            </w:r>
            <w:proofErr w:type="gramEnd"/>
            <w:r>
              <w:t xml:space="preserve"> Programme costs and some travel costs.</w:t>
            </w:r>
          </w:p>
          <w:p w:rsidR="006779F4" w:rsidRPr="004B1D4A" w:rsidRDefault="006779F4" w:rsidP="006779F4">
            <w:r>
              <w:t>Training package of £15,000 per trainee for employers to use to help release staff/obtain supervision for the 200 procedures necessary to qualify.</w:t>
            </w:r>
          </w:p>
          <w:p w:rsidR="004B1D4A" w:rsidRDefault="00317237" w:rsidP="004B1D4A">
            <w:r>
              <w:t>An update for Clinical Endoscopy training in the South West from previous cohorts reveals that out of 18 Applicants, 10 have undertaken the training ( 7 applications failed and 1 non completer).</w:t>
            </w:r>
          </w:p>
          <w:p w:rsidR="00317237" w:rsidRDefault="00317237" w:rsidP="00317237">
            <w:r>
              <w:t xml:space="preserve">There is also a programme to upskill current workforce  in the SW 10 ‘trainees’ have engaged with that across </w:t>
            </w:r>
            <w:r w:rsidRPr="00317237">
              <w:rPr>
                <w:bCs/>
              </w:rPr>
              <w:t>N</w:t>
            </w:r>
            <w:r w:rsidRPr="00317237">
              <w:t>BT (2),TST (2), UHBT (2), RD&amp;E (4)</w:t>
            </w:r>
            <w:r>
              <w:t>.</w:t>
            </w:r>
          </w:p>
          <w:p w:rsidR="00317237" w:rsidRDefault="00317237" w:rsidP="00317237">
            <w:r>
              <w:t>Continued work going forward is further work at system level to link existing retention and attraction actions into cancer specific workforce (“bucket”).</w:t>
            </w:r>
          </w:p>
          <w:p w:rsidR="00317237" w:rsidRDefault="00317237" w:rsidP="00317237">
            <w:r>
              <w:t>Configuration of South Regional Cancer Workforce Priority Group (CWPG) is underway.  Chaired by HEE (Cancer SRO south) and reporting into the full South Cancer Board.</w:t>
            </w:r>
          </w:p>
          <w:p w:rsidR="00317237" w:rsidRDefault="00317237" w:rsidP="00317237">
            <w:r>
              <w:t>Continuing to build on the collaborative approach with medical colleagues to identify realistic education potential actions (pipeline).   Those actions will be part of the CWPG work-streams.</w:t>
            </w:r>
          </w:p>
          <w:p w:rsidR="00317237" w:rsidRDefault="00317237" w:rsidP="00317237">
            <w:r>
              <w:t xml:space="preserve">Continue to support the alignment of STP/Local Workforce Action Boards service planning with workforce intelligence to inform focus areas in phase 1, and leading to development of phase 2. </w:t>
            </w:r>
          </w:p>
          <w:p w:rsidR="00317237" w:rsidRDefault="00317237" w:rsidP="00317237">
            <w:r>
              <w:t>Raised Reporting Radiographer funding options with cancer Alliances and employers.  Similar to follow around Endoscopy and FIT.</w:t>
            </w:r>
          </w:p>
          <w:p w:rsidR="005D034A" w:rsidRDefault="005D034A" w:rsidP="00317237"/>
          <w:p w:rsidR="005D034A" w:rsidRDefault="005D034A" w:rsidP="00317237">
            <w:r>
              <w:t>A view that this is still too little and too late to avert a problem in workforce availability to allow for sustaining the current workforce</w:t>
            </w:r>
            <w:r w:rsidR="00910D63">
              <w:t xml:space="preserve"> levels</w:t>
            </w:r>
            <w:r>
              <w:t xml:space="preserve"> and increasing it in the near future – there is not a quick fix to deal with the pressures and new potential pressures on Endoscopy departments.</w:t>
            </w:r>
          </w:p>
          <w:p w:rsidR="005D034A" w:rsidRDefault="005D034A" w:rsidP="00317237"/>
          <w:p w:rsidR="005D034A" w:rsidRDefault="005D034A" w:rsidP="00317237">
            <w:r>
              <w:t>Next steps going forward:</w:t>
            </w:r>
          </w:p>
          <w:p w:rsidR="005D034A" w:rsidRDefault="005D034A" w:rsidP="005D034A">
            <w:pPr>
              <w:pStyle w:val="ListParagraph"/>
              <w:numPr>
                <w:ilvl w:val="0"/>
                <w:numId w:val="19"/>
              </w:numPr>
            </w:pPr>
            <w:r>
              <w:t>Emphasis on moving some functions from Secondary care to Primary care</w:t>
            </w:r>
          </w:p>
          <w:p w:rsidR="005D034A" w:rsidRDefault="00BA645E" w:rsidP="00BA645E">
            <w:pPr>
              <w:pStyle w:val="ListParagraph"/>
              <w:numPr>
                <w:ilvl w:val="0"/>
                <w:numId w:val="19"/>
              </w:numPr>
            </w:pPr>
            <w:proofErr w:type="gramStart"/>
            <w:r w:rsidRPr="00BA645E">
              <w:t>sustainability</w:t>
            </w:r>
            <w:proofErr w:type="gramEnd"/>
            <w:r w:rsidRPr="00BA645E">
              <w:t xml:space="preserve"> and transformation partnerships </w:t>
            </w:r>
            <w:r>
              <w:t>(</w:t>
            </w:r>
            <w:r w:rsidR="005D034A">
              <w:t>STPs</w:t>
            </w:r>
            <w:r>
              <w:t>)</w:t>
            </w:r>
            <w:r w:rsidR="005D034A">
              <w:t xml:space="preserve"> could look at the ‘spread’ of trained Radiographers to explore greater mobility of the workforce.</w:t>
            </w:r>
          </w:p>
          <w:p w:rsidR="005D034A" w:rsidRDefault="005D034A" w:rsidP="005D034A">
            <w:r>
              <w:t xml:space="preserve">The new </w:t>
            </w:r>
            <w:proofErr w:type="gramStart"/>
            <w:r>
              <w:t>role  of</w:t>
            </w:r>
            <w:proofErr w:type="gramEnd"/>
            <w:r>
              <w:t xml:space="preserve"> Physician associate intended to </w:t>
            </w:r>
            <w:r w:rsidRPr="005D034A">
              <w:t>support doctors in the diagno</w:t>
            </w:r>
            <w:r>
              <w:t xml:space="preserve">sis and management of patients could be based </w:t>
            </w:r>
            <w:r w:rsidRPr="005D034A">
              <w:t>in a GP surge</w:t>
            </w:r>
            <w:r>
              <w:t>ry or be based in a hospital. Challenges to this are that the workforce prefer to be based in Acute Trusts as opposed to General Practice.</w:t>
            </w:r>
          </w:p>
          <w:p w:rsidR="005D034A" w:rsidRDefault="005D034A" w:rsidP="00D74F41">
            <w:r>
              <w:t xml:space="preserve">Also that GPs </w:t>
            </w:r>
            <w:r w:rsidR="00D74F41">
              <w:t>currently do not ‘understand’ are not familiar the roll out of training for this role having been involved only in junior doctor training to date.</w:t>
            </w:r>
          </w:p>
          <w:p w:rsidR="00D74F41" w:rsidRDefault="00D74F41" w:rsidP="00D74F41">
            <w:r>
              <w:t xml:space="preserve">There is also an aspect around prescribing – not currently included in generic nurse training but CCGs are exploring funding and </w:t>
            </w:r>
            <w:proofErr w:type="spellStart"/>
            <w:r>
              <w:t>role</w:t>
            </w:r>
            <w:proofErr w:type="spellEnd"/>
            <w:r>
              <w:t xml:space="preserve"> out of </w:t>
            </w:r>
            <w:proofErr w:type="spellStart"/>
            <w:r>
              <w:t>non medical</w:t>
            </w:r>
            <w:proofErr w:type="spellEnd"/>
            <w:r>
              <w:t xml:space="preserve"> prescribing e.g. Clinical Pharmacist role.</w:t>
            </w:r>
          </w:p>
          <w:p w:rsidR="00415313" w:rsidRPr="00D01EBD" w:rsidRDefault="00415313" w:rsidP="00D74F41"/>
        </w:tc>
        <w:tc>
          <w:tcPr>
            <w:tcW w:w="659" w:type="dxa"/>
          </w:tcPr>
          <w:p w:rsidR="008E42D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Pr="00FA1708" w:rsidRDefault="00FA1708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415313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7</w:t>
            </w:r>
          </w:p>
        </w:tc>
        <w:tc>
          <w:tcPr>
            <w:tcW w:w="9530" w:type="dxa"/>
          </w:tcPr>
          <w:p w:rsidR="008E42DB" w:rsidRPr="00E572BB" w:rsidRDefault="00FA1708" w:rsidP="004153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415313">
              <w:rPr>
                <w:rFonts w:cs="Arial"/>
                <w:b/>
                <w:szCs w:val="22"/>
              </w:rPr>
              <w:t>itizens’ Assembly – Joanna Parker, CA Chair</w:t>
            </w:r>
          </w:p>
        </w:tc>
        <w:tc>
          <w:tcPr>
            <w:tcW w:w="659" w:type="dxa"/>
          </w:tcPr>
          <w:p w:rsidR="008E42DB" w:rsidRPr="00E572B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9503E4" w:rsidRPr="00E572BB" w:rsidTr="00415313">
        <w:tc>
          <w:tcPr>
            <w:tcW w:w="504" w:type="dxa"/>
          </w:tcPr>
          <w:p w:rsidR="008E42DB" w:rsidRPr="00E572BB" w:rsidRDefault="008E42DB" w:rsidP="00066CF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30" w:type="dxa"/>
          </w:tcPr>
          <w:p w:rsidR="00FA1708" w:rsidRDefault="00713DDE" w:rsidP="00066CFF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JParker</w:t>
            </w:r>
            <w:proofErr w:type="spellEnd"/>
            <w:r>
              <w:rPr>
                <w:rFonts w:cs="Arial"/>
                <w:szCs w:val="22"/>
              </w:rPr>
              <w:t xml:space="preserve"> gave a brief outline of the constitution of the CA and their role in contributing to Council </w:t>
            </w:r>
            <w:r>
              <w:rPr>
                <w:rFonts w:cs="Arial"/>
                <w:szCs w:val="22"/>
              </w:rPr>
              <w:lastRenderedPageBreak/>
              <w:t xml:space="preserve">debates and conferences. At Assembly meetings the 13 </w:t>
            </w:r>
            <w:proofErr w:type="spellStart"/>
            <w:r>
              <w:rPr>
                <w:rFonts w:cs="Arial"/>
                <w:szCs w:val="22"/>
              </w:rPr>
              <w:t>Healthwatch</w:t>
            </w:r>
            <w:proofErr w:type="spellEnd"/>
            <w:r>
              <w:rPr>
                <w:rFonts w:cs="Arial"/>
                <w:szCs w:val="22"/>
              </w:rPr>
              <w:t xml:space="preserve"> members ‘de-construct’ the “Question posed for Council discussion </w:t>
            </w:r>
            <w:r w:rsidR="002764E0">
              <w:rPr>
                <w:rFonts w:cs="Arial"/>
                <w:szCs w:val="22"/>
              </w:rPr>
              <w:t>(</w:t>
            </w:r>
            <w:r>
              <w:rPr>
                <w:rFonts w:cs="Arial"/>
                <w:szCs w:val="22"/>
              </w:rPr>
              <w:t>which is compiled to be aimed at clinicians and their vocabulary</w:t>
            </w:r>
            <w:r w:rsidR="002764E0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>.</w:t>
            </w:r>
          </w:p>
          <w:p w:rsidR="00FA1708" w:rsidRDefault="00910D63" w:rsidP="00910D63">
            <w:pPr>
              <w:rPr>
                <w:rFonts w:cs="Arial"/>
                <w:szCs w:val="22"/>
              </w:rPr>
            </w:pPr>
            <w:proofErr w:type="spellStart"/>
            <w:proofErr w:type="gramStart"/>
            <w:r>
              <w:t>JP</w:t>
            </w:r>
            <w:r w:rsidR="002764E0">
              <w:t>arker</w:t>
            </w:r>
            <w:proofErr w:type="spellEnd"/>
            <w:r w:rsidR="002764E0">
              <w:t xml:space="preserve"> </w:t>
            </w:r>
            <w:r>
              <w:t xml:space="preserve"> relayed</w:t>
            </w:r>
            <w:proofErr w:type="gramEnd"/>
            <w:r>
              <w:t xml:space="preserve"> a personal ex</w:t>
            </w:r>
            <w:r w:rsidR="00BA645E">
              <w:t>perience</w:t>
            </w:r>
            <w:r>
              <w:t xml:space="preserve">, as a family member of a patient (her husband) accessing the </w:t>
            </w:r>
            <w:r w:rsidRPr="00910D63">
              <w:rPr>
                <w:rFonts w:cs="Arial"/>
                <w:szCs w:val="22"/>
              </w:rPr>
              <w:t>Colorectal</w:t>
            </w:r>
            <w:r>
              <w:rPr>
                <w:rFonts w:cs="Arial"/>
                <w:szCs w:val="22"/>
              </w:rPr>
              <w:t xml:space="preserve"> diagnosis pathway very recently. From this viewpoint she researched as much as she could and ensured </w:t>
            </w:r>
            <w:r w:rsidR="002764E0">
              <w:rPr>
                <w:rFonts w:cs="Arial"/>
                <w:szCs w:val="22"/>
              </w:rPr>
              <w:t xml:space="preserve">that </w:t>
            </w:r>
            <w:r>
              <w:rPr>
                <w:rFonts w:cs="Arial"/>
                <w:szCs w:val="22"/>
              </w:rPr>
              <w:t>she read all of the pre reading in an attempt to pull out a Mind</w:t>
            </w:r>
            <w:r w:rsidR="00F61674">
              <w:rPr>
                <w:rFonts w:cs="Arial"/>
                <w:szCs w:val="22"/>
              </w:rPr>
              <w:t xml:space="preserve"> M</w:t>
            </w:r>
            <w:r>
              <w:rPr>
                <w:rFonts w:cs="Arial"/>
                <w:szCs w:val="22"/>
              </w:rPr>
              <w:t>ap of considerations.</w:t>
            </w:r>
          </w:p>
          <w:p w:rsidR="00910D63" w:rsidRDefault="00910D63" w:rsidP="00910D63">
            <w:pPr>
              <w:rPr>
                <w:rFonts w:cs="Arial"/>
                <w:szCs w:val="22"/>
              </w:rPr>
            </w:pPr>
          </w:p>
          <w:p w:rsidR="00910D63" w:rsidRDefault="00910D63" w:rsidP="00910D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Joanna’s husband is a very physically fit man in his 70s and had not previously had to undergo any medical intervention for health issues.</w:t>
            </w:r>
          </w:p>
          <w:p w:rsidR="00910D63" w:rsidRDefault="00910D63" w:rsidP="00910D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entry into the system began with a request to repeat the Bowel Cancer Kit that he was sent as being in the catchment group for this screening. That done he left the country for a planned trip abroad. On his return he had been contacted to undergo a colonoscopy procedure</w:t>
            </w:r>
            <w:r w:rsidR="00F61674">
              <w:rPr>
                <w:rFonts w:cs="Arial"/>
                <w:szCs w:val="22"/>
              </w:rPr>
              <w:t>.</w:t>
            </w:r>
          </w:p>
          <w:p w:rsidR="00F61674" w:rsidRDefault="00F61674" w:rsidP="00910D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Joanna experienced for the first time his unexpected reaction of “…..falling apart” at that news. It was a Clinical Nurse Specialist who steadied his response won him over to definitely going through with the test and helped prepare him for what was entailed and what to expect.</w:t>
            </w:r>
          </w:p>
          <w:p w:rsidR="00F61674" w:rsidRDefault="00F61674" w:rsidP="00910D63">
            <w:pPr>
              <w:rPr>
                <w:rFonts w:cs="Arial"/>
                <w:szCs w:val="22"/>
              </w:rPr>
            </w:pPr>
          </w:p>
          <w:p w:rsidR="00F61674" w:rsidRDefault="00F61674" w:rsidP="00F616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resulting outcome was exactly what they both wanted; as the feedback from the test a very unambiguous healthy colon.</w:t>
            </w:r>
          </w:p>
          <w:p w:rsidR="00F61674" w:rsidRDefault="00F61674" w:rsidP="00F616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So Joanna’s Mind Map considerations from this experience are:</w:t>
            </w:r>
          </w:p>
          <w:p w:rsidR="00F61674" w:rsidRDefault="00F61674" w:rsidP="00F61674">
            <w:pPr>
              <w:pStyle w:val="ListParagraph"/>
              <w:numPr>
                <w:ilvl w:val="0"/>
                <w:numId w:val="20"/>
              </w:numPr>
            </w:pPr>
            <w:r>
              <w:t>Please involve patients in the planning, through good, clear communication; listening, advocacy and written</w:t>
            </w:r>
          </w:p>
          <w:p w:rsidR="00F61674" w:rsidRDefault="00F61674" w:rsidP="00F61674">
            <w:pPr>
              <w:pStyle w:val="ListParagraph"/>
              <w:numPr>
                <w:ilvl w:val="0"/>
                <w:numId w:val="20"/>
              </w:numPr>
            </w:pPr>
            <w:r>
              <w:t xml:space="preserve">What communication is available from both secondary and primary </w:t>
            </w:r>
            <w:proofErr w:type="gramStart"/>
            <w:r>
              <w:t>care ?</w:t>
            </w:r>
            <w:proofErr w:type="gramEnd"/>
            <w:r>
              <w:t xml:space="preserve"> Was it prepped including a patient viewpoint?</w:t>
            </w:r>
          </w:p>
          <w:p w:rsidR="00F61674" w:rsidRDefault="00F61674" w:rsidP="00F61674">
            <w:pPr>
              <w:pStyle w:val="ListParagraph"/>
              <w:numPr>
                <w:ilvl w:val="0"/>
                <w:numId w:val="20"/>
              </w:numPr>
            </w:pPr>
            <w:r>
              <w:t>Support for carers, family</w:t>
            </w:r>
          </w:p>
          <w:p w:rsidR="00FC6847" w:rsidRDefault="00FC6847" w:rsidP="00F61674">
            <w:pPr>
              <w:pStyle w:val="ListParagraph"/>
              <w:numPr>
                <w:ilvl w:val="0"/>
                <w:numId w:val="20"/>
              </w:numPr>
            </w:pPr>
            <w:r>
              <w:t>Compassionate care</w:t>
            </w:r>
          </w:p>
          <w:p w:rsidR="00FC6847" w:rsidRDefault="00FC6847" w:rsidP="00F61674">
            <w:pPr>
              <w:pStyle w:val="ListParagraph"/>
              <w:numPr>
                <w:ilvl w:val="0"/>
                <w:numId w:val="20"/>
              </w:numPr>
            </w:pPr>
            <w:r>
              <w:t>Full understanding of both the physical and psychological impact</w:t>
            </w:r>
          </w:p>
          <w:p w:rsidR="00FC6847" w:rsidRDefault="00FC6847" w:rsidP="00F61674">
            <w:pPr>
              <w:pStyle w:val="ListParagraph"/>
              <w:numPr>
                <w:ilvl w:val="0"/>
                <w:numId w:val="20"/>
              </w:numPr>
            </w:pPr>
            <w:r>
              <w:t>Equity of access to care (locally)</w:t>
            </w:r>
          </w:p>
          <w:p w:rsidR="00FC6847" w:rsidRDefault="00FC6847" w:rsidP="00F61674">
            <w:pPr>
              <w:pStyle w:val="ListParagraph"/>
              <w:numPr>
                <w:ilvl w:val="0"/>
                <w:numId w:val="20"/>
              </w:numPr>
            </w:pPr>
            <w:r>
              <w:t>Managing side effects</w:t>
            </w:r>
          </w:p>
          <w:p w:rsidR="00FC6847" w:rsidRDefault="00FC6847" w:rsidP="001416D8">
            <w:r>
              <w:t xml:space="preserve">It’s almost 25 years since the </w:t>
            </w:r>
            <w:proofErr w:type="spellStart"/>
            <w:r>
              <w:t>Calman</w:t>
            </w:r>
            <w:proofErr w:type="spellEnd"/>
            <w:r>
              <w:t xml:space="preserve">-Hine </w:t>
            </w:r>
            <w:r w:rsidR="001416D8">
              <w:t>r</w:t>
            </w:r>
            <w:r>
              <w:t>eport was published</w:t>
            </w:r>
            <w:r w:rsidR="001416D8">
              <w:t>;  it</w:t>
            </w:r>
            <w:r w:rsidR="001416D8" w:rsidRPr="001416D8">
              <w:t xml:space="preserve"> examined cancer services in the United Kingdom, and proposed a restructuring of cancer services to achieve a more equitable level of access to high levels of expertise throughout the country</w:t>
            </w:r>
            <w:r w:rsidR="001416D8">
              <w:t>,</w:t>
            </w:r>
            <w:r w:rsidR="001416D8" w:rsidRPr="001416D8">
              <w:t xml:space="preserve"> </w:t>
            </w:r>
            <w:r w:rsidR="001416D8">
              <w:t>i</w:t>
            </w:r>
            <w:r w:rsidR="001416D8" w:rsidRPr="001416D8">
              <w:t>ts main recommendation was to concentrate care into the hands of site-specialist, multi-disciplinary teams</w:t>
            </w:r>
            <w:r w:rsidR="001416D8">
              <w:t xml:space="preserve"> as best practice. From Performance </w:t>
            </w:r>
            <w:proofErr w:type="gramStart"/>
            <w:r w:rsidR="001416D8">
              <w:t>Management  from</w:t>
            </w:r>
            <w:proofErr w:type="gramEnd"/>
            <w:r w:rsidR="001416D8">
              <w:t xml:space="preserve"> every </w:t>
            </w:r>
            <w:proofErr w:type="spellStart"/>
            <w:r w:rsidR="001416D8">
              <w:t>provder</w:t>
            </w:r>
            <w:proofErr w:type="spellEnd"/>
            <w:r w:rsidR="001416D8">
              <w:t xml:space="preserve"> the need for the role of a Lead Cancer nurse became an evident.</w:t>
            </w:r>
          </w:p>
          <w:p w:rsidR="00BA645E" w:rsidRDefault="00BA645E" w:rsidP="001416D8">
            <w:r>
              <w:t>Current challenges for the service are adequate manpower, adequate capacity and local distortion.</w:t>
            </w:r>
          </w:p>
          <w:p w:rsidR="00BA645E" w:rsidRDefault="00BA645E" w:rsidP="001416D8">
            <w:r>
              <w:t xml:space="preserve">From today’s presentations and discussion Joanna has also flagged the need to ensure that there isn’t </w:t>
            </w:r>
            <w:proofErr w:type="gramStart"/>
            <w:r>
              <w:t>inequality  in</w:t>
            </w:r>
            <w:proofErr w:type="gramEnd"/>
            <w:r>
              <w:t xml:space="preserve"> the parity of disciplines; that there “isn’t robbing Peter to pay Paul”.</w:t>
            </w:r>
          </w:p>
          <w:p w:rsidR="00BA645E" w:rsidRDefault="00BA645E" w:rsidP="001416D8"/>
          <w:p w:rsidR="00BA645E" w:rsidRDefault="00BA645E" w:rsidP="001416D8">
            <w:r>
              <w:t>How can demand be reduced for these overworked departments such as Endoscopy; better screening should help to alleviate that but it is not a quick fix.</w:t>
            </w:r>
          </w:p>
          <w:p w:rsidR="00BA645E" w:rsidRDefault="00BA645E" w:rsidP="0090142C">
            <w:r>
              <w:t xml:space="preserve">Systems are made up of systems – </w:t>
            </w:r>
            <w:r w:rsidRPr="00BA645E">
              <w:t>sustainability and transformation partnerships (</w:t>
            </w:r>
            <w:r w:rsidRPr="00BA645E">
              <w:rPr>
                <w:bCs/>
              </w:rPr>
              <w:t>STPs</w:t>
            </w:r>
            <w:r w:rsidRPr="00BA645E">
              <w:t>) are designed around the needs of whole areas, not just individual organisations</w:t>
            </w:r>
            <w:r w:rsidR="0090142C">
              <w:t>; they</w:t>
            </w:r>
            <w:r>
              <w:t xml:space="preserve"> are starting to look at that aspect</w:t>
            </w:r>
            <w:r w:rsidR="00FC0CEA">
              <w:t xml:space="preserve">, </w:t>
            </w:r>
            <w:r>
              <w:t>h</w:t>
            </w:r>
            <w:r w:rsidR="0090142C">
              <w:t>o</w:t>
            </w:r>
            <w:r>
              <w:t>w it all works/changes.</w:t>
            </w:r>
          </w:p>
          <w:p w:rsidR="0090142C" w:rsidRDefault="0090142C" w:rsidP="0090142C"/>
          <w:p w:rsidR="0090142C" w:rsidRPr="00F61674" w:rsidRDefault="0090142C" w:rsidP="0090142C">
            <w:r>
              <w:t xml:space="preserve">Colorectal </w:t>
            </w:r>
            <w:proofErr w:type="gramStart"/>
            <w:r>
              <w:t>Surgeons  availability</w:t>
            </w:r>
            <w:proofErr w:type="gramEnd"/>
            <w:r>
              <w:t xml:space="preserve"> 24/7 is no longer the reality for the Emergency Services</w:t>
            </w:r>
            <w:r w:rsidR="00FC0CEA">
              <w:t xml:space="preserve"> (in terms of delivering surgery).</w:t>
            </w:r>
          </w:p>
        </w:tc>
        <w:tc>
          <w:tcPr>
            <w:tcW w:w="659" w:type="dxa"/>
          </w:tcPr>
          <w:p w:rsidR="008E42DB" w:rsidRDefault="008E42DB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FA1708" w:rsidRPr="00FA1708" w:rsidRDefault="00FA1708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FA1708" w:rsidRPr="00E572BB" w:rsidTr="00415313">
        <w:tc>
          <w:tcPr>
            <w:tcW w:w="504" w:type="dxa"/>
          </w:tcPr>
          <w:p w:rsidR="00FA1708" w:rsidRPr="00E572BB" w:rsidRDefault="002764E0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8</w:t>
            </w:r>
          </w:p>
        </w:tc>
        <w:tc>
          <w:tcPr>
            <w:tcW w:w="9530" w:type="dxa"/>
          </w:tcPr>
          <w:p w:rsidR="00FA1708" w:rsidRPr="00FA1708" w:rsidRDefault="002764E0" w:rsidP="00066CFF">
            <w:pPr>
              <w:rPr>
                <w:rFonts w:cs="Arial"/>
                <w:b/>
                <w:szCs w:val="22"/>
              </w:rPr>
            </w:pPr>
            <w:r w:rsidRPr="002764E0">
              <w:rPr>
                <w:rFonts w:cs="Arial"/>
                <w:b/>
                <w:szCs w:val="22"/>
              </w:rPr>
              <w:t>Group work:</w:t>
            </w:r>
            <w:r>
              <w:rPr>
                <w:rFonts w:cs="Arial"/>
                <w:b/>
                <w:szCs w:val="22"/>
              </w:rPr>
              <w:t xml:space="preserve"> Diagnostics and Workforce.</w:t>
            </w:r>
          </w:p>
        </w:tc>
        <w:tc>
          <w:tcPr>
            <w:tcW w:w="659" w:type="dxa"/>
          </w:tcPr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FA1708" w:rsidRPr="00E572BB" w:rsidTr="00415313">
        <w:tc>
          <w:tcPr>
            <w:tcW w:w="504" w:type="dxa"/>
          </w:tcPr>
          <w:p w:rsidR="00FA1708" w:rsidRPr="00E572BB" w:rsidRDefault="00FA1708" w:rsidP="00066CF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30" w:type="dxa"/>
          </w:tcPr>
          <w:p w:rsidR="000336C7" w:rsidRPr="002764E0" w:rsidRDefault="002764E0" w:rsidP="002764E0">
            <w:pPr>
              <w:rPr>
                <w:rFonts w:cs="Arial"/>
                <w:szCs w:val="22"/>
              </w:rPr>
            </w:pPr>
            <w:r w:rsidRPr="002764E0">
              <w:rPr>
                <w:rFonts w:cs="Arial"/>
                <w:szCs w:val="22"/>
              </w:rPr>
              <w:t xml:space="preserve">The meeting attendees split into 2 groups </w:t>
            </w:r>
            <w:proofErr w:type="gramStart"/>
            <w:r w:rsidRPr="002764E0">
              <w:rPr>
                <w:rFonts w:cs="Arial"/>
                <w:szCs w:val="22"/>
              </w:rPr>
              <w:t>to  consider</w:t>
            </w:r>
            <w:proofErr w:type="gramEnd"/>
            <w:r w:rsidRPr="002764E0">
              <w:rPr>
                <w:rFonts w:cs="Arial"/>
                <w:szCs w:val="22"/>
              </w:rPr>
              <w:t xml:space="preserve"> the above issues to </w:t>
            </w:r>
            <w:r>
              <w:rPr>
                <w:rFonts w:cs="Arial"/>
                <w:szCs w:val="22"/>
              </w:rPr>
              <w:t>facilitate</w:t>
            </w:r>
            <w:r w:rsidRPr="002764E0">
              <w:rPr>
                <w:rFonts w:cs="Arial"/>
                <w:szCs w:val="22"/>
              </w:rPr>
              <w:t xml:space="preserve"> the </w:t>
            </w:r>
            <w:r>
              <w:rPr>
                <w:rFonts w:cs="Arial"/>
                <w:szCs w:val="22"/>
              </w:rPr>
              <w:t xml:space="preserve">coalescing of recommendations. </w:t>
            </w:r>
            <w:proofErr w:type="gramStart"/>
            <w:r>
              <w:rPr>
                <w:rFonts w:cs="Arial"/>
                <w:szCs w:val="22"/>
              </w:rPr>
              <w:t>( see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2764E0">
              <w:rPr>
                <w:rFonts w:cs="Arial"/>
                <w:szCs w:val="22"/>
              </w:rPr>
              <w:t>Recommendations from the South West Clinical Senate C</w:t>
            </w:r>
            <w:r>
              <w:rPr>
                <w:rFonts w:cs="Arial"/>
                <w:szCs w:val="22"/>
              </w:rPr>
              <w:t>ouncil meeting on 27</w:t>
            </w:r>
            <w:r w:rsidRPr="002764E0">
              <w:rPr>
                <w:rFonts w:cs="Arial"/>
                <w:szCs w:val="22"/>
              </w:rPr>
              <w:t xml:space="preserve">th </w:t>
            </w:r>
            <w:r>
              <w:rPr>
                <w:rFonts w:cs="Arial"/>
                <w:szCs w:val="22"/>
              </w:rPr>
              <w:t>September</w:t>
            </w:r>
            <w:r w:rsidRPr="002764E0">
              <w:rPr>
                <w:rFonts w:cs="Arial"/>
                <w:szCs w:val="22"/>
              </w:rPr>
              <w:t xml:space="preserve"> 2018</w:t>
            </w:r>
            <w:r>
              <w:rPr>
                <w:rFonts w:cs="Arial"/>
                <w:szCs w:val="22"/>
              </w:rPr>
              <w:t xml:space="preserve"> document.</w:t>
            </w:r>
          </w:p>
        </w:tc>
        <w:tc>
          <w:tcPr>
            <w:tcW w:w="659" w:type="dxa"/>
          </w:tcPr>
          <w:p w:rsidR="00FA1708" w:rsidRDefault="00FA1708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AA15D2" w:rsidRDefault="00AA15D2" w:rsidP="00892361">
            <w:pPr>
              <w:jc w:val="center"/>
              <w:rPr>
                <w:rFonts w:cs="Arial"/>
                <w:szCs w:val="22"/>
              </w:rPr>
            </w:pPr>
          </w:p>
          <w:p w:rsidR="000336C7" w:rsidRPr="000336C7" w:rsidRDefault="000336C7" w:rsidP="00892361">
            <w:pPr>
              <w:jc w:val="center"/>
              <w:rPr>
                <w:rFonts w:cs="Arial"/>
                <w:szCs w:val="22"/>
              </w:rPr>
            </w:pPr>
          </w:p>
        </w:tc>
      </w:tr>
      <w:tr w:rsidR="00891441" w:rsidRPr="00E572BB" w:rsidTr="00415313">
        <w:tc>
          <w:tcPr>
            <w:tcW w:w="504" w:type="dxa"/>
          </w:tcPr>
          <w:p w:rsidR="00891441" w:rsidRDefault="002764E0" w:rsidP="00066CFF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9530" w:type="dxa"/>
          </w:tcPr>
          <w:p w:rsidR="00891441" w:rsidRPr="00891441" w:rsidRDefault="002764E0" w:rsidP="00066CF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Conclusions and AOB</w:t>
            </w:r>
          </w:p>
        </w:tc>
        <w:tc>
          <w:tcPr>
            <w:tcW w:w="659" w:type="dxa"/>
          </w:tcPr>
          <w:p w:rsidR="00891441" w:rsidRDefault="00891441" w:rsidP="0089236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91441" w:rsidRPr="00E572BB" w:rsidTr="00415313">
        <w:tc>
          <w:tcPr>
            <w:tcW w:w="504" w:type="dxa"/>
          </w:tcPr>
          <w:p w:rsidR="00891441" w:rsidRDefault="00891441" w:rsidP="00066CF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9530" w:type="dxa"/>
          </w:tcPr>
          <w:p w:rsidR="00415313" w:rsidRDefault="002764E0" w:rsidP="0041531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Future Meeting Dates - 2019</w:t>
            </w:r>
            <w:r w:rsidR="00415313">
              <w:rPr>
                <w:rFonts w:cs="Arial"/>
                <w:szCs w:val="22"/>
              </w:rPr>
              <w:t>Pending the outcome of the survey responses from Council members and their preference for  alternating weekdays for the meeting rollout – the 2019 dates will be circulated shortly.</w:t>
            </w:r>
          </w:p>
          <w:p w:rsidR="00891441" w:rsidRDefault="00891441" w:rsidP="00066CF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59" w:type="dxa"/>
          </w:tcPr>
          <w:p w:rsidR="00891441" w:rsidRDefault="00891441" w:rsidP="00892361">
            <w:pPr>
              <w:jc w:val="center"/>
              <w:rPr>
                <w:rFonts w:cs="Arial"/>
                <w:b/>
                <w:szCs w:val="22"/>
              </w:rPr>
            </w:pPr>
          </w:p>
          <w:p w:rsidR="00891441" w:rsidRDefault="00415313" w:rsidP="00892361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TT</w:t>
            </w:r>
          </w:p>
          <w:p w:rsidR="00891441" w:rsidRPr="00891441" w:rsidRDefault="00891441" w:rsidP="00415313">
            <w:pPr>
              <w:rPr>
                <w:rFonts w:cs="Arial"/>
                <w:szCs w:val="22"/>
              </w:rPr>
            </w:pPr>
          </w:p>
        </w:tc>
      </w:tr>
    </w:tbl>
    <w:p w:rsidR="00520556" w:rsidRDefault="00520556" w:rsidP="00CF2F45">
      <w:pPr>
        <w:rPr>
          <w:b/>
        </w:rPr>
      </w:pPr>
    </w:p>
    <w:p w:rsidR="00CF2F45" w:rsidRDefault="00CF2F45" w:rsidP="00CF2F45">
      <w:pPr>
        <w:rPr>
          <w:b/>
        </w:rPr>
      </w:pPr>
      <w:r>
        <w:rPr>
          <w:b/>
        </w:rPr>
        <w:t>2018 Meetings: 29</w:t>
      </w:r>
      <w:r w:rsidRPr="0004605F">
        <w:rPr>
          <w:b/>
          <w:vertAlign w:val="superscript"/>
        </w:rPr>
        <w:t>th</w:t>
      </w:r>
      <w:r w:rsidR="00520556">
        <w:rPr>
          <w:b/>
        </w:rPr>
        <w:t xml:space="preserve"> Novem</w:t>
      </w:r>
      <w:r>
        <w:rPr>
          <w:b/>
        </w:rPr>
        <w:t>ber</w:t>
      </w:r>
    </w:p>
    <w:p w:rsidR="00CF2F45" w:rsidRDefault="00CF2F45" w:rsidP="00F37E77">
      <w:pPr>
        <w:rPr>
          <w:rFonts w:cs="Arial"/>
          <w:b/>
        </w:rPr>
      </w:pPr>
    </w:p>
    <w:p w:rsidR="00CF2F45" w:rsidRDefault="00CF2F45" w:rsidP="00F37E77">
      <w:pPr>
        <w:rPr>
          <w:rFonts w:cs="Arial"/>
          <w:b/>
        </w:rPr>
      </w:pPr>
    </w:p>
    <w:p w:rsidR="00F37E77" w:rsidRPr="00DB7456" w:rsidRDefault="00F37E77" w:rsidP="00F37E77">
      <w:pPr>
        <w:rPr>
          <w:rFonts w:cs="Arial"/>
          <w:b/>
        </w:rPr>
      </w:pPr>
      <w:r w:rsidRPr="00DB7456">
        <w:rPr>
          <w:rFonts w:cs="Arial"/>
          <w:b/>
        </w:rPr>
        <w:t xml:space="preserve">Present: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2"/>
        <w:gridCol w:w="4670"/>
      </w:tblGrid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Rachel Perry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Sunita Berry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EA3127" w:rsidP="00066CFF">
            <w:pPr>
              <w:rPr>
                <w:rFonts w:cs="Arial"/>
              </w:rPr>
            </w:pPr>
            <w:r>
              <w:rPr>
                <w:rFonts w:cs="Arial"/>
              </w:rPr>
              <w:t>Derek Sprague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Sally Pearson, Chair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Marion </w:t>
            </w:r>
            <w:proofErr w:type="spellStart"/>
            <w:r>
              <w:rPr>
                <w:rFonts w:cs="Arial"/>
              </w:rPr>
              <w:t>Andrews-Evans</w:t>
            </w:r>
            <w:proofErr w:type="spellEnd"/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Mary Backhouse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James Bolt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Helen </w:t>
            </w:r>
            <w:proofErr w:type="spellStart"/>
            <w:r>
              <w:rPr>
                <w:rFonts w:cs="Arial"/>
              </w:rPr>
              <w:t>Dunderdale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Joanna Parker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Melanie Feldman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Caroline </w:t>
            </w:r>
            <w:proofErr w:type="spellStart"/>
            <w:r>
              <w:rPr>
                <w:rFonts w:cs="Arial"/>
              </w:rPr>
              <w:t>Gamlin</w:t>
            </w:r>
            <w:proofErr w:type="spellEnd"/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Bettina </w:t>
            </w:r>
            <w:proofErr w:type="spellStart"/>
            <w:r>
              <w:rPr>
                <w:rFonts w:cs="Arial"/>
              </w:rPr>
              <w:t>Kluettgens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Ben Lankester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Peter </w:t>
            </w:r>
            <w:proofErr w:type="spellStart"/>
            <w:r>
              <w:rPr>
                <w:rFonts w:cs="Arial"/>
              </w:rPr>
              <w:t>Buttle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Nick Pennell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Joanna Parker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Nadar</w:t>
            </w:r>
            <w:proofErr w:type="spellEnd"/>
            <w:r>
              <w:rPr>
                <w:rFonts w:cs="Arial"/>
              </w:rPr>
              <w:t xml:space="preserve"> Francis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</w:t>
            </w:r>
            <w:proofErr w:type="spellStart"/>
            <w:r>
              <w:rPr>
                <w:rFonts w:cs="Arial"/>
              </w:rPr>
              <w:t>Halpin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Gilly </w:t>
            </w:r>
            <w:proofErr w:type="spellStart"/>
            <w:r>
              <w:rPr>
                <w:rFonts w:cs="Arial"/>
              </w:rPr>
              <w:t>Gotch</w:t>
            </w:r>
            <w:proofErr w:type="spellEnd"/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Nina </w:t>
            </w:r>
            <w:proofErr w:type="spellStart"/>
            <w:r>
              <w:rPr>
                <w:rFonts w:cs="Arial"/>
              </w:rPr>
              <w:t>Kamalarajan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Lynne </w:t>
            </w:r>
            <w:proofErr w:type="spellStart"/>
            <w:r>
              <w:rPr>
                <w:rFonts w:cs="Arial"/>
              </w:rPr>
              <w:t>Kilner</w:t>
            </w:r>
            <w:proofErr w:type="spellEnd"/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Beverley Parker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Jon Miller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Dave </w:t>
            </w:r>
            <w:proofErr w:type="spellStart"/>
            <w:r>
              <w:rPr>
                <w:rFonts w:cs="Arial"/>
              </w:rPr>
              <w:t>Partlow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Tim Platt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Maggie Rae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Amelia Randle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John </w:t>
            </w:r>
            <w:proofErr w:type="spellStart"/>
            <w:r>
              <w:rPr>
                <w:rFonts w:cs="Arial"/>
              </w:rPr>
              <w:t>Renninson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Sally Rickard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Peter Rowe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Derek Sprague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Trish Trim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Ruth </w:t>
            </w:r>
            <w:proofErr w:type="spellStart"/>
            <w:r>
              <w:rPr>
                <w:rFonts w:cs="Arial"/>
              </w:rPr>
              <w:t>Wilcockson</w:t>
            </w:r>
            <w:proofErr w:type="spellEnd"/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CF2F45" w:rsidP="00066CFF">
            <w:pPr>
              <w:rPr>
                <w:rFonts w:cs="Arial"/>
              </w:rPr>
            </w:pPr>
            <w:r>
              <w:rPr>
                <w:rFonts w:cs="Arial"/>
              </w:rPr>
              <w:t>Julie Burton</w:t>
            </w:r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CF2F45" w:rsidP="00066CFF">
            <w:pPr>
              <w:rPr>
                <w:rFonts w:cs="Arial"/>
              </w:rPr>
            </w:pPr>
            <w:r>
              <w:rPr>
                <w:rFonts w:cs="Arial"/>
              </w:rPr>
              <w:t>Aileen Fraser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CF2F45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</w:t>
            </w:r>
            <w:proofErr w:type="spellStart"/>
            <w:r>
              <w:rPr>
                <w:rFonts w:cs="Arial"/>
              </w:rPr>
              <w:t>Tometzki</w:t>
            </w:r>
            <w:proofErr w:type="spellEnd"/>
          </w:p>
        </w:tc>
      </w:tr>
      <w:tr w:rsidR="00F37E77" w:rsidTr="00066CFF">
        <w:tc>
          <w:tcPr>
            <w:tcW w:w="4572" w:type="dxa"/>
            <w:tcMar>
              <w:top w:w="28" w:type="dxa"/>
              <w:bottom w:w="28" w:type="dxa"/>
            </w:tcMar>
          </w:tcPr>
          <w:p w:rsidR="00F37E77" w:rsidRDefault="00CF2F45" w:rsidP="00066CFF">
            <w:pPr>
              <w:rPr>
                <w:rFonts w:cs="Arial"/>
              </w:rPr>
            </w:pPr>
            <w:r>
              <w:rPr>
                <w:rFonts w:cs="Arial"/>
              </w:rPr>
              <w:t>Paul Winterbottom</w:t>
            </w:r>
          </w:p>
        </w:tc>
        <w:tc>
          <w:tcPr>
            <w:tcW w:w="4670" w:type="dxa"/>
            <w:tcMar>
              <w:top w:w="28" w:type="dxa"/>
              <w:bottom w:w="28" w:type="dxa"/>
            </w:tcMar>
          </w:tcPr>
          <w:p w:rsidR="00F37E77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Anne </w:t>
            </w:r>
            <w:proofErr w:type="spellStart"/>
            <w:r>
              <w:rPr>
                <w:rFonts w:cs="Arial"/>
              </w:rPr>
              <w:t>Pullyblank</w:t>
            </w:r>
            <w:proofErr w:type="spellEnd"/>
          </w:p>
        </w:tc>
      </w:tr>
    </w:tbl>
    <w:p w:rsidR="00520556" w:rsidRDefault="00520556" w:rsidP="00F37E77">
      <w:pPr>
        <w:rPr>
          <w:rFonts w:cs="Arial"/>
          <w:b/>
        </w:rPr>
      </w:pPr>
    </w:p>
    <w:p w:rsidR="00F37E77" w:rsidRDefault="00F37E77" w:rsidP="00F37E77">
      <w:pPr>
        <w:rPr>
          <w:rFonts w:cs="Arial"/>
          <w:b/>
        </w:rPr>
      </w:pPr>
      <w:r>
        <w:rPr>
          <w:rFonts w:cs="Arial"/>
          <w:b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27"/>
      </w:tblGrid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Tariq White</w:t>
            </w:r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William Hubbard</w:t>
            </w:r>
          </w:p>
        </w:tc>
      </w:tr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Diane Crawford</w:t>
            </w:r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Vaughn Lewis</w:t>
            </w:r>
          </w:p>
        </w:tc>
      </w:tr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Jane Mitchell</w:t>
            </w:r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Andrea </w:t>
            </w:r>
            <w:proofErr w:type="spellStart"/>
            <w:r>
              <w:rPr>
                <w:rFonts w:cs="Arial"/>
              </w:rPr>
              <w:t>Merrison</w:t>
            </w:r>
            <w:proofErr w:type="spellEnd"/>
          </w:p>
        </w:tc>
      </w:tr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F37E77" w:rsidP="00066CFF">
            <w:pPr>
              <w:rPr>
                <w:rFonts w:cs="Arial"/>
              </w:rPr>
            </w:pPr>
            <w:r>
              <w:rPr>
                <w:rFonts w:cs="Arial"/>
              </w:rPr>
              <w:t>Mark Stone</w:t>
            </w:r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Robert Dyer</w:t>
            </w:r>
          </w:p>
        </w:tc>
      </w:tr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Paul </w:t>
            </w:r>
            <w:proofErr w:type="spellStart"/>
            <w:r>
              <w:rPr>
                <w:rFonts w:cs="Arial"/>
              </w:rPr>
              <w:t>Eyres</w:t>
            </w:r>
            <w:proofErr w:type="spellEnd"/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Nick Kennedy</w:t>
            </w:r>
          </w:p>
        </w:tc>
      </w:tr>
      <w:tr w:rsidR="00F37E77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 xml:space="preserve">Peter </w:t>
            </w:r>
            <w:proofErr w:type="spellStart"/>
            <w:r>
              <w:rPr>
                <w:rFonts w:cs="Arial"/>
              </w:rPr>
              <w:t>Bagshaw</w:t>
            </w:r>
            <w:proofErr w:type="spellEnd"/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F37E77" w:rsidRPr="00F769E2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Sara Evans</w:t>
            </w:r>
          </w:p>
        </w:tc>
      </w:tr>
      <w:tr w:rsidR="000C7DF5" w:rsidRPr="00735469" w:rsidTr="00066CFF">
        <w:tc>
          <w:tcPr>
            <w:tcW w:w="4615" w:type="dxa"/>
            <w:tcMar>
              <w:top w:w="28" w:type="dxa"/>
              <w:bottom w:w="28" w:type="dxa"/>
            </w:tcMar>
          </w:tcPr>
          <w:p w:rsidR="000C7DF5" w:rsidRDefault="000C7DF5" w:rsidP="00066CFF">
            <w:pPr>
              <w:rPr>
                <w:rFonts w:cs="Arial"/>
              </w:rPr>
            </w:pPr>
            <w:r>
              <w:rPr>
                <w:rFonts w:cs="Arial"/>
              </w:rPr>
              <w:t>Bruce Laurence</w:t>
            </w:r>
          </w:p>
        </w:tc>
        <w:tc>
          <w:tcPr>
            <w:tcW w:w="4627" w:type="dxa"/>
            <w:tcMar>
              <w:top w:w="28" w:type="dxa"/>
              <w:bottom w:w="28" w:type="dxa"/>
            </w:tcMar>
          </w:tcPr>
          <w:p w:rsidR="000C7DF5" w:rsidRDefault="000C7DF5" w:rsidP="00066CFF">
            <w:pPr>
              <w:rPr>
                <w:rFonts w:cs="Arial"/>
              </w:rPr>
            </w:pPr>
          </w:p>
        </w:tc>
      </w:tr>
    </w:tbl>
    <w:p w:rsidR="00F37E77" w:rsidRPr="0004605F" w:rsidRDefault="00F37E77">
      <w:pPr>
        <w:rPr>
          <w:b/>
        </w:rPr>
      </w:pPr>
    </w:p>
    <w:sectPr w:rsidR="00F37E77" w:rsidRPr="0004605F" w:rsidSect="00A97E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4A" w:rsidRDefault="005D034A" w:rsidP="008E42DB">
      <w:r>
        <w:separator/>
      </w:r>
    </w:p>
  </w:endnote>
  <w:endnote w:type="continuationSeparator" w:id="0">
    <w:p w:rsidR="005D034A" w:rsidRDefault="005D034A" w:rsidP="008E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0" w:rsidRDefault="00276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61990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D034A" w:rsidRPr="008E42DB" w:rsidRDefault="005D034A" w:rsidP="008E42DB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2D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2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E42D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276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8E42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D034A" w:rsidRDefault="005D034A" w:rsidP="008E42DB">
            <w:pPr>
              <w:pStyle w:val="Footer"/>
            </w:pPr>
            <w:r w:rsidRPr="008E42DB">
              <w:rPr>
                <w:rFonts w:ascii="Arial" w:hAnsi="Arial" w:cs="Arial"/>
                <w:bCs/>
                <w:sz w:val="20"/>
                <w:szCs w:val="20"/>
              </w:rPr>
              <w:t>File path:</w:t>
            </w:r>
            <w:r w:rsidRPr="0004605F">
              <w:t xml:space="preserve"> </w:t>
            </w:r>
            <w:r w:rsidRPr="0004605F">
              <w:rPr>
                <w:rFonts w:ascii="Arial" w:hAnsi="Arial" w:cs="Arial"/>
                <w:bCs/>
                <w:sz w:val="20"/>
                <w:szCs w:val="20"/>
              </w:rPr>
              <w:t>I:\SouthPlaza\Medical Directorate\Strategic Clinical Networks\Senate\Senate Council\Meetings\2018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\2018 09 27 </w:t>
            </w:r>
          </w:p>
        </w:sdtContent>
      </w:sdt>
      <w:p w:rsidR="005D034A" w:rsidRDefault="005D034A" w:rsidP="008E42DB">
        <w:pPr>
          <w:pStyle w:val="Footer"/>
        </w:pPr>
        <w:r>
          <w:t xml:space="preserve"> </w:t>
        </w:r>
      </w:p>
    </w:sdtContent>
  </w:sdt>
  <w:p w:rsidR="005D034A" w:rsidRDefault="005D03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0" w:rsidRDefault="00276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4A" w:rsidRDefault="005D034A" w:rsidP="008E42DB">
      <w:r>
        <w:separator/>
      </w:r>
    </w:p>
  </w:footnote>
  <w:footnote w:type="continuationSeparator" w:id="0">
    <w:p w:rsidR="005D034A" w:rsidRDefault="005D034A" w:rsidP="008E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0" w:rsidRDefault="00276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4A" w:rsidRDefault="00BB2763" w:rsidP="008E42DB">
    <w:pPr>
      <w:pStyle w:val="Header"/>
      <w:jc w:val="right"/>
    </w:pPr>
    <w:sdt>
      <w:sdtPr>
        <w:id w:val="-89812834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D034A">
      <w:rPr>
        <w:noProof/>
        <w:lang w:eastAsia="en-GB"/>
      </w:rPr>
      <w:drawing>
        <wp:inline distT="0" distB="0" distL="0" distR="0" wp14:anchorId="6A8B64E0" wp14:editId="00A9DCD1">
          <wp:extent cx="2169601" cy="97470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 West Clinical Senate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78" cy="97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34A" w:rsidRDefault="005D0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E0" w:rsidRDefault="00276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C5B"/>
    <w:multiLevelType w:val="hybridMultilevel"/>
    <w:tmpl w:val="68C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BDD"/>
    <w:multiLevelType w:val="hybridMultilevel"/>
    <w:tmpl w:val="88047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3317F"/>
    <w:multiLevelType w:val="hybridMultilevel"/>
    <w:tmpl w:val="B19C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3CEC"/>
    <w:multiLevelType w:val="hybridMultilevel"/>
    <w:tmpl w:val="D94E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66D2"/>
    <w:multiLevelType w:val="hybridMultilevel"/>
    <w:tmpl w:val="9052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37661"/>
    <w:multiLevelType w:val="hybridMultilevel"/>
    <w:tmpl w:val="1864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561E"/>
    <w:multiLevelType w:val="hybridMultilevel"/>
    <w:tmpl w:val="6A187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697E"/>
    <w:multiLevelType w:val="hybridMultilevel"/>
    <w:tmpl w:val="5FCE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44394"/>
    <w:multiLevelType w:val="hybridMultilevel"/>
    <w:tmpl w:val="AAF8710C"/>
    <w:lvl w:ilvl="0" w:tplc="4A1A1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60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0E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4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4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F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4D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6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4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0703F0"/>
    <w:multiLevelType w:val="hybridMultilevel"/>
    <w:tmpl w:val="D7D0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4CB7"/>
    <w:multiLevelType w:val="hybridMultilevel"/>
    <w:tmpl w:val="03CC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F5A8B"/>
    <w:multiLevelType w:val="hybridMultilevel"/>
    <w:tmpl w:val="E38C0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3E06"/>
    <w:multiLevelType w:val="hybridMultilevel"/>
    <w:tmpl w:val="5938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41A94"/>
    <w:multiLevelType w:val="hybridMultilevel"/>
    <w:tmpl w:val="97A8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F2A32"/>
    <w:multiLevelType w:val="hybridMultilevel"/>
    <w:tmpl w:val="19EC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F28F3"/>
    <w:multiLevelType w:val="hybridMultilevel"/>
    <w:tmpl w:val="5A026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281075D"/>
    <w:multiLevelType w:val="hybridMultilevel"/>
    <w:tmpl w:val="714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839D4"/>
    <w:multiLevelType w:val="hybridMultilevel"/>
    <w:tmpl w:val="3DAA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27483"/>
    <w:multiLevelType w:val="hybridMultilevel"/>
    <w:tmpl w:val="942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A2D09"/>
    <w:multiLevelType w:val="hybridMultilevel"/>
    <w:tmpl w:val="D1B0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4"/>
  </w:num>
  <w:num w:numId="12">
    <w:abstractNumId w:val="18"/>
  </w:num>
  <w:num w:numId="13">
    <w:abstractNumId w:val="7"/>
  </w:num>
  <w:num w:numId="14">
    <w:abstractNumId w:val="2"/>
  </w:num>
  <w:num w:numId="15">
    <w:abstractNumId w:val="6"/>
  </w:num>
  <w:num w:numId="16">
    <w:abstractNumId w:val="17"/>
  </w:num>
  <w:num w:numId="17">
    <w:abstractNumId w:val="9"/>
  </w:num>
  <w:num w:numId="18">
    <w:abstractNumId w:val="3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74"/>
    <w:rsid w:val="00003D3C"/>
    <w:rsid w:val="00010998"/>
    <w:rsid w:val="00026B4B"/>
    <w:rsid w:val="000336C7"/>
    <w:rsid w:val="0004605F"/>
    <w:rsid w:val="000601CA"/>
    <w:rsid w:val="00066CFF"/>
    <w:rsid w:val="00081175"/>
    <w:rsid w:val="000863DA"/>
    <w:rsid w:val="000C19A2"/>
    <w:rsid w:val="000C7DF5"/>
    <w:rsid w:val="000D16DB"/>
    <w:rsid w:val="000D431E"/>
    <w:rsid w:val="00124028"/>
    <w:rsid w:val="001416D8"/>
    <w:rsid w:val="00191FE0"/>
    <w:rsid w:val="001A17FD"/>
    <w:rsid w:val="001A44AE"/>
    <w:rsid w:val="001B6319"/>
    <w:rsid w:val="001D3153"/>
    <w:rsid w:val="00213C1E"/>
    <w:rsid w:val="00217AD3"/>
    <w:rsid w:val="002337E3"/>
    <w:rsid w:val="002764E0"/>
    <w:rsid w:val="002A66C6"/>
    <w:rsid w:val="002B5998"/>
    <w:rsid w:val="00317237"/>
    <w:rsid w:val="00323445"/>
    <w:rsid w:val="00343753"/>
    <w:rsid w:val="0039235E"/>
    <w:rsid w:val="0039318F"/>
    <w:rsid w:val="003D3474"/>
    <w:rsid w:val="003E3048"/>
    <w:rsid w:val="004104EE"/>
    <w:rsid w:val="00412B0B"/>
    <w:rsid w:val="00415313"/>
    <w:rsid w:val="00430199"/>
    <w:rsid w:val="004B1D4A"/>
    <w:rsid w:val="004C1365"/>
    <w:rsid w:val="004F77C8"/>
    <w:rsid w:val="00500D4A"/>
    <w:rsid w:val="00520556"/>
    <w:rsid w:val="00522AFA"/>
    <w:rsid w:val="00596790"/>
    <w:rsid w:val="005A7C21"/>
    <w:rsid w:val="005C27D0"/>
    <w:rsid w:val="005C3F40"/>
    <w:rsid w:val="005D034A"/>
    <w:rsid w:val="005D3FD0"/>
    <w:rsid w:val="005E0A8E"/>
    <w:rsid w:val="00603511"/>
    <w:rsid w:val="006350E3"/>
    <w:rsid w:val="00655C21"/>
    <w:rsid w:val="00671C5C"/>
    <w:rsid w:val="006779F4"/>
    <w:rsid w:val="00683192"/>
    <w:rsid w:val="006963E1"/>
    <w:rsid w:val="006D1B8B"/>
    <w:rsid w:val="006F2C26"/>
    <w:rsid w:val="00713DDE"/>
    <w:rsid w:val="00775AAB"/>
    <w:rsid w:val="0079315F"/>
    <w:rsid w:val="007A0D6E"/>
    <w:rsid w:val="00810E8B"/>
    <w:rsid w:val="00821FB3"/>
    <w:rsid w:val="00824846"/>
    <w:rsid w:val="008806D3"/>
    <w:rsid w:val="008835AE"/>
    <w:rsid w:val="00891441"/>
    <w:rsid w:val="00892361"/>
    <w:rsid w:val="008B7EB9"/>
    <w:rsid w:val="008C6AB7"/>
    <w:rsid w:val="008D14E8"/>
    <w:rsid w:val="008D7664"/>
    <w:rsid w:val="008E27B3"/>
    <w:rsid w:val="008E42DB"/>
    <w:rsid w:val="0090142C"/>
    <w:rsid w:val="00910D63"/>
    <w:rsid w:val="00924FCF"/>
    <w:rsid w:val="00927668"/>
    <w:rsid w:val="009503E4"/>
    <w:rsid w:val="009577B6"/>
    <w:rsid w:val="00982E25"/>
    <w:rsid w:val="009A186C"/>
    <w:rsid w:val="009C00E4"/>
    <w:rsid w:val="009D79CD"/>
    <w:rsid w:val="009F6E21"/>
    <w:rsid w:val="009F6E22"/>
    <w:rsid w:val="00A07AC0"/>
    <w:rsid w:val="00A26A4D"/>
    <w:rsid w:val="00A85DCB"/>
    <w:rsid w:val="00A90669"/>
    <w:rsid w:val="00A97E07"/>
    <w:rsid w:val="00AA15D2"/>
    <w:rsid w:val="00AC1F4A"/>
    <w:rsid w:val="00AC2C05"/>
    <w:rsid w:val="00AE3385"/>
    <w:rsid w:val="00B34FFD"/>
    <w:rsid w:val="00B90263"/>
    <w:rsid w:val="00BA645E"/>
    <w:rsid w:val="00BB2763"/>
    <w:rsid w:val="00BB74DC"/>
    <w:rsid w:val="00BC1A4E"/>
    <w:rsid w:val="00BC6DBF"/>
    <w:rsid w:val="00C241BC"/>
    <w:rsid w:val="00C704C5"/>
    <w:rsid w:val="00CA035A"/>
    <w:rsid w:val="00CA7C98"/>
    <w:rsid w:val="00CC560B"/>
    <w:rsid w:val="00CF2F45"/>
    <w:rsid w:val="00D01EBD"/>
    <w:rsid w:val="00D20054"/>
    <w:rsid w:val="00D648B3"/>
    <w:rsid w:val="00D74F41"/>
    <w:rsid w:val="00D856F2"/>
    <w:rsid w:val="00DD3B0C"/>
    <w:rsid w:val="00DD5556"/>
    <w:rsid w:val="00DF208B"/>
    <w:rsid w:val="00DF5E2B"/>
    <w:rsid w:val="00DF7039"/>
    <w:rsid w:val="00E1354A"/>
    <w:rsid w:val="00E33FB8"/>
    <w:rsid w:val="00E54AA4"/>
    <w:rsid w:val="00E66510"/>
    <w:rsid w:val="00EA3127"/>
    <w:rsid w:val="00EA4907"/>
    <w:rsid w:val="00EB1D60"/>
    <w:rsid w:val="00EC145B"/>
    <w:rsid w:val="00EE5355"/>
    <w:rsid w:val="00F000A3"/>
    <w:rsid w:val="00F22A80"/>
    <w:rsid w:val="00F31AA9"/>
    <w:rsid w:val="00F329EE"/>
    <w:rsid w:val="00F37E77"/>
    <w:rsid w:val="00F61674"/>
    <w:rsid w:val="00FA1708"/>
    <w:rsid w:val="00FC0CEA"/>
    <w:rsid w:val="00FC6847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2DB"/>
    <w:pPr>
      <w:keepNext/>
      <w:outlineLvl w:val="5"/>
    </w:pPr>
    <w:rPr>
      <w:rFonts w:ascii="Calibri" w:hAnsi="Calibri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2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42DB"/>
  </w:style>
  <w:style w:type="paragraph" w:styleId="Footer">
    <w:name w:val="footer"/>
    <w:basedOn w:val="Normal"/>
    <w:link w:val="FooterChar"/>
    <w:uiPriority w:val="99"/>
    <w:unhideWhenUsed/>
    <w:rsid w:val="008E42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42DB"/>
  </w:style>
  <w:style w:type="paragraph" w:styleId="BalloonText">
    <w:name w:val="Balloon Text"/>
    <w:basedOn w:val="Normal"/>
    <w:link w:val="BalloonTextChar"/>
    <w:uiPriority w:val="99"/>
    <w:semiHidden/>
    <w:unhideWhenUsed/>
    <w:rsid w:val="008E42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D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E42DB"/>
    <w:rPr>
      <w:rFonts w:ascii="Calibri" w:eastAsia="Times New Roman" w:hAnsi="Calibri" w:cs="Times New Roman"/>
      <w:b/>
      <w:bCs/>
      <w:lang w:val="x-none"/>
    </w:rPr>
  </w:style>
  <w:style w:type="paragraph" w:customStyle="1" w:styleId="MinsTitle">
    <w:name w:val="Mins Title"/>
    <w:basedOn w:val="Normal"/>
    <w:rsid w:val="008E42DB"/>
    <w:pPr>
      <w:spacing w:before="240" w:after="240"/>
    </w:pPr>
    <w:rPr>
      <w:b/>
      <w:color w:val="000080"/>
      <w:sz w:val="36"/>
    </w:rPr>
  </w:style>
  <w:style w:type="table" w:styleId="TableGrid">
    <w:name w:val="Table Grid"/>
    <w:basedOn w:val="TableNormal"/>
    <w:uiPriority w:val="59"/>
    <w:rsid w:val="008E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DB"/>
    <w:pPr>
      <w:ind w:left="720"/>
      <w:contextualSpacing/>
    </w:pPr>
    <w:rPr>
      <w:rFonts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7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7B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7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2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645E"/>
    <w:rPr>
      <w:b/>
      <w:bCs/>
      <w:i w:val="0"/>
      <w:iCs w:val="0"/>
    </w:rPr>
  </w:style>
  <w:style w:type="character" w:customStyle="1" w:styleId="st1">
    <w:name w:val="st1"/>
    <w:basedOn w:val="DefaultParagraphFont"/>
    <w:rsid w:val="00BA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D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2DB"/>
    <w:pPr>
      <w:keepNext/>
      <w:outlineLvl w:val="5"/>
    </w:pPr>
    <w:rPr>
      <w:rFonts w:ascii="Calibri" w:hAnsi="Calibri"/>
      <w:b/>
      <w:bCs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2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42DB"/>
  </w:style>
  <w:style w:type="paragraph" w:styleId="Footer">
    <w:name w:val="footer"/>
    <w:basedOn w:val="Normal"/>
    <w:link w:val="FooterChar"/>
    <w:uiPriority w:val="99"/>
    <w:unhideWhenUsed/>
    <w:rsid w:val="008E42D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42DB"/>
  </w:style>
  <w:style w:type="paragraph" w:styleId="BalloonText">
    <w:name w:val="Balloon Text"/>
    <w:basedOn w:val="Normal"/>
    <w:link w:val="BalloonTextChar"/>
    <w:uiPriority w:val="99"/>
    <w:semiHidden/>
    <w:unhideWhenUsed/>
    <w:rsid w:val="008E42D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D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E42DB"/>
    <w:rPr>
      <w:rFonts w:ascii="Calibri" w:eastAsia="Times New Roman" w:hAnsi="Calibri" w:cs="Times New Roman"/>
      <w:b/>
      <w:bCs/>
      <w:lang w:val="x-none"/>
    </w:rPr>
  </w:style>
  <w:style w:type="paragraph" w:customStyle="1" w:styleId="MinsTitle">
    <w:name w:val="Mins Title"/>
    <w:basedOn w:val="Normal"/>
    <w:rsid w:val="008E42DB"/>
    <w:pPr>
      <w:spacing w:before="240" w:after="240"/>
    </w:pPr>
    <w:rPr>
      <w:b/>
      <w:color w:val="000080"/>
      <w:sz w:val="36"/>
    </w:rPr>
  </w:style>
  <w:style w:type="table" w:styleId="TableGrid">
    <w:name w:val="Table Grid"/>
    <w:basedOn w:val="TableNormal"/>
    <w:uiPriority w:val="59"/>
    <w:rsid w:val="008E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DB"/>
    <w:pPr>
      <w:ind w:left="720"/>
      <w:contextualSpacing/>
    </w:pPr>
    <w:rPr>
      <w:rFonts w:cs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E2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7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7B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7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723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A645E"/>
    <w:rPr>
      <w:b/>
      <w:bCs/>
      <w:i w:val="0"/>
      <w:iCs w:val="0"/>
    </w:rPr>
  </w:style>
  <w:style w:type="character" w:customStyle="1" w:styleId="st1">
    <w:name w:val="st1"/>
    <w:basedOn w:val="DefaultParagraphFont"/>
    <w:rsid w:val="00BA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6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hPlaza\Medical%20Directorate\Strategic%20Clinical%20Networks\Senate\Admin\Templates\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99EB-FF64-4443-868F-BAD7EC3D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</Template>
  <TotalTime>1213</TotalTime>
  <Pages>11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Cullum</dc:creator>
  <cp:lastModifiedBy>patriciatrim</cp:lastModifiedBy>
  <cp:revision>66</cp:revision>
  <dcterms:created xsi:type="dcterms:W3CDTF">2018-10-03T11:02:00Z</dcterms:created>
  <dcterms:modified xsi:type="dcterms:W3CDTF">2018-10-18T10:44:00Z</dcterms:modified>
</cp:coreProperties>
</file>